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9B" w:rsidRPr="00310C3D" w:rsidRDefault="000C1A6F" w:rsidP="003A2A84">
      <w:pPr>
        <w:rPr>
          <w:b/>
          <w:color w:val="FF0000"/>
          <w:sz w:val="20"/>
          <w:szCs w:val="20"/>
          <w:u w:val="single"/>
        </w:rPr>
      </w:pPr>
      <w:r w:rsidRPr="000C1A6F">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margin-left:-20.6pt;margin-top:-58.85pt;width:82.9pt;height:69.3pt;z-index:-1;visibility:visible">
            <v:imagedata r:id="rId7" o:title=""/>
          </v:shape>
        </w:pict>
      </w:r>
    </w:p>
    <w:tbl>
      <w:tblPr>
        <w:tblW w:w="5150" w:type="pct"/>
        <w:tblBorders>
          <w:top w:val="single" w:sz="6" w:space="0" w:color="auto"/>
          <w:left w:val="single" w:sz="6" w:space="0" w:color="auto"/>
          <w:bottom w:val="single" w:sz="6" w:space="0" w:color="auto"/>
          <w:right w:val="single" w:sz="6" w:space="0" w:color="auto"/>
        </w:tblBorders>
        <w:tblCellMar>
          <w:left w:w="30" w:type="dxa"/>
          <w:right w:w="30" w:type="dxa"/>
        </w:tblCellMar>
        <w:tblLook w:val="0000"/>
      </w:tblPr>
      <w:tblGrid>
        <w:gridCol w:w="1570"/>
        <w:gridCol w:w="10085"/>
        <w:gridCol w:w="2831"/>
      </w:tblGrid>
      <w:tr w:rsidR="00656D9B" w:rsidRPr="00327ACF" w:rsidTr="00E0775E">
        <w:trPr>
          <w:trHeight w:val="455"/>
        </w:trPr>
        <w:tc>
          <w:tcPr>
            <w:tcW w:w="4023" w:type="pct"/>
            <w:gridSpan w:val="2"/>
            <w:tcBorders>
              <w:top w:val="single" w:sz="4" w:space="0" w:color="auto"/>
              <w:left w:val="single" w:sz="4" w:space="0" w:color="auto"/>
              <w:bottom w:val="single" w:sz="6" w:space="0" w:color="auto"/>
              <w:right w:val="single" w:sz="4" w:space="0" w:color="auto"/>
            </w:tcBorders>
            <w:shd w:val="clear" w:color="auto" w:fill="D9D9D9"/>
          </w:tcPr>
          <w:p w:rsidR="00656D9B" w:rsidRPr="00327ACF" w:rsidRDefault="00656D9B" w:rsidP="00B27209">
            <w:pPr>
              <w:autoSpaceDE w:val="0"/>
              <w:autoSpaceDN w:val="0"/>
              <w:adjustRightInd w:val="0"/>
              <w:spacing w:after="0" w:line="240" w:lineRule="auto"/>
              <w:jc w:val="center"/>
              <w:rPr>
                <w:rFonts w:cs="Calibri"/>
                <w:b/>
                <w:color w:val="002060"/>
                <w:szCs w:val="24"/>
              </w:rPr>
            </w:pPr>
            <w:r w:rsidRPr="00327ACF">
              <w:rPr>
                <w:rFonts w:cs="Calibri"/>
                <w:b/>
                <w:color w:val="002060"/>
                <w:szCs w:val="24"/>
              </w:rPr>
              <w:t xml:space="preserve">Analyse  FORCE OUVRIERE </w:t>
            </w:r>
          </w:p>
          <w:p w:rsidR="00656D9B" w:rsidRPr="00327ACF" w:rsidRDefault="00656D9B" w:rsidP="00B27209">
            <w:pPr>
              <w:autoSpaceDE w:val="0"/>
              <w:autoSpaceDN w:val="0"/>
              <w:adjustRightInd w:val="0"/>
              <w:spacing w:after="0" w:line="240" w:lineRule="auto"/>
              <w:jc w:val="center"/>
              <w:rPr>
                <w:rFonts w:cs="Calibri"/>
                <w:b/>
                <w:color w:val="002060"/>
                <w:szCs w:val="24"/>
              </w:rPr>
            </w:pPr>
            <w:r w:rsidRPr="00327ACF">
              <w:rPr>
                <w:rFonts w:cs="Calibri"/>
                <w:b/>
                <w:color w:val="002060"/>
                <w:szCs w:val="24"/>
              </w:rPr>
              <w:t>Projet de loi « sécurisation de l’emploi »</w:t>
            </w:r>
          </w:p>
          <w:p w:rsidR="00656D9B" w:rsidRPr="00327ACF" w:rsidRDefault="00656D9B" w:rsidP="005B5B0A">
            <w:pPr>
              <w:autoSpaceDE w:val="0"/>
              <w:autoSpaceDN w:val="0"/>
              <w:adjustRightInd w:val="0"/>
              <w:spacing w:after="0" w:line="240" w:lineRule="auto"/>
              <w:jc w:val="center"/>
              <w:rPr>
                <w:rFonts w:cs="Calibri"/>
                <w:b/>
                <w:color w:val="002060"/>
                <w:szCs w:val="18"/>
              </w:rPr>
            </w:pPr>
          </w:p>
        </w:tc>
        <w:tc>
          <w:tcPr>
            <w:tcW w:w="977" w:type="pct"/>
            <w:tcBorders>
              <w:top w:val="single" w:sz="6" w:space="0" w:color="auto"/>
              <w:left w:val="single" w:sz="4" w:space="0" w:color="auto"/>
              <w:bottom w:val="single" w:sz="6" w:space="0" w:color="auto"/>
            </w:tcBorders>
            <w:shd w:val="clear" w:color="auto" w:fill="D9D9D9"/>
          </w:tcPr>
          <w:p w:rsidR="00656D9B" w:rsidRPr="00327ACF" w:rsidRDefault="00656D9B" w:rsidP="00D54C7E">
            <w:pPr>
              <w:autoSpaceDE w:val="0"/>
              <w:autoSpaceDN w:val="0"/>
              <w:adjustRightInd w:val="0"/>
              <w:spacing w:after="0" w:line="240" w:lineRule="auto"/>
              <w:jc w:val="center"/>
              <w:rPr>
                <w:rFonts w:eastAsia="Arial Unicode MS" w:cs="Calibri"/>
                <w:b/>
                <w:color w:val="002060"/>
                <w:szCs w:val="24"/>
              </w:rPr>
            </w:pPr>
            <w:r w:rsidRPr="00327ACF">
              <w:rPr>
                <w:rFonts w:eastAsia="Arial Unicode MS" w:cs="Calibri"/>
                <w:b/>
                <w:color w:val="002060"/>
                <w:szCs w:val="24"/>
              </w:rPr>
              <w:t xml:space="preserve">Les modifications du projet de loi  par rapport à  l’accord du 11 janvier 2013 </w:t>
            </w:r>
          </w:p>
        </w:tc>
      </w:tr>
      <w:tr w:rsidR="00656D9B" w:rsidRPr="00327ACF" w:rsidTr="00E0775E">
        <w:trPr>
          <w:trHeight w:val="2059"/>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FB5361">
            <w:pPr>
              <w:autoSpaceDE w:val="0"/>
              <w:autoSpaceDN w:val="0"/>
              <w:adjustRightInd w:val="0"/>
              <w:spacing w:after="0" w:line="240" w:lineRule="auto"/>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 du PL</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9E24FC">
            <w:pPr>
              <w:autoSpaceDE w:val="0"/>
              <w:autoSpaceDN w:val="0"/>
              <w:adjustRightInd w:val="0"/>
              <w:spacing w:after="0" w:line="240" w:lineRule="auto"/>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Généralisation complémentaire santé</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 xml:space="preserve">Page 14 </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BD2EEC">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La généralisation de la couverture est effectivement envisagée mais dans des délais relativement longs et des modalités complexes voir floues. </w:t>
            </w:r>
          </w:p>
          <w:p w:rsidR="00656D9B" w:rsidRPr="00327ACF" w:rsidRDefault="00656D9B" w:rsidP="00BD2EEC">
            <w:pPr>
              <w:autoSpaceDE w:val="0"/>
              <w:autoSpaceDN w:val="0"/>
              <w:adjustRightInd w:val="0"/>
              <w:spacing w:after="0" w:line="240" w:lineRule="auto"/>
              <w:jc w:val="both"/>
              <w:rPr>
                <w:rFonts w:cs="Calibri"/>
                <w:color w:val="000000"/>
                <w:sz w:val="20"/>
                <w:szCs w:val="20"/>
              </w:rPr>
            </w:pPr>
          </w:p>
          <w:p w:rsidR="00656D9B" w:rsidRPr="00327ACF" w:rsidRDefault="00656D9B" w:rsidP="00BD2EEC">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u w:val="single"/>
              </w:rPr>
              <w:t>Les modifications de l’article L .912-1 du code de la sécurité sociale</w:t>
            </w:r>
            <w:r w:rsidRPr="00327ACF">
              <w:rPr>
                <w:rFonts w:cs="Calibri"/>
                <w:color w:val="000000"/>
                <w:sz w:val="20"/>
                <w:szCs w:val="20"/>
              </w:rPr>
              <w:t xml:space="preserve"> à savoir soumettre les clauses de désignation ou de recommandation à « des conditions de transparence et selon des modalités prévues par décret» :</w:t>
            </w:r>
          </w:p>
          <w:p w:rsidR="00656D9B" w:rsidRPr="00327ACF" w:rsidRDefault="00656D9B" w:rsidP="00BD2EEC">
            <w:pPr>
              <w:autoSpaceDE w:val="0"/>
              <w:autoSpaceDN w:val="0"/>
              <w:adjustRightInd w:val="0"/>
              <w:spacing w:after="0" w:line="240" w:lineRule="auto"/>
              <w:jc w:val="both"/>
              <w:rPr>
                <w:rFonts w:cs="Calibri"/>
                <w:color w:val="000000"/>
                <w:sz w:val="20"/>
                <w:szCs w:val="20"/>
              </w:rPr>
            </w:pPr>
          </w:p>
          <w:p w:rsidR="00656D9B" w:rsidRPr="00327ACF" w:rsidRDefault="00656D9B" w:rsidP="005C02DB">
            <w:pPr>
              <w:pStyle w:val="Paragraphedeliste"/>
              <w:numPr>
                <w:ilvl w:val="0"/>
                <w:numId w:val="1"/>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Par cette modification il est prévu de conditionner les clauses de désignation et de recommandation à des éléments non encore connus, fixés ultérieurement par décret. </w:t>
            </w:r>
          </w:p>
          <w:p w:rsidR="00656D9B" w:rsidRPr="00327ACF" w:rsidRDefault="00656D9B" w:rsidP="002D37F7">
            <w:pPr>
              <w:pStyle w:val="Paragraphedeliste"/>
              <w:numPr>
                <w:ilvl w:val="1"/>
                <w:numId w:val="1"/>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Or, sur ce point, l’étude d’impact de loi prévoit déjà que devra être envisagé « les règles en matière de conflit d’intérêt (partenaires sociaux exerçant un mandat ou ayant un lien avec l’organisme assureur candidat) ». Si une telle règle était retenue, elle remettrait notamment en cause la liberté de désignation et de composition des délégations des organisations syndicales.</w:t>
            </w:r>
          </w:p>
          <w:p w:rsidR="00656D9B" w:rsidRPr="00327ACF" w:rsidRDefault="00656D9B" w:rsidP="005C02DB">
            <w:pPr>
              <w:pStyle w:val="Paragraphedeliste"/>
              <w:numPr>
                <w:ilvl w:val="0"/>
                <w:numId w:val="1"/>
              </w:numPr>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Par ailleurs </w:t>
            </w:r>
            <w:r w:rsidRPr="00327ACF">
              <w:rPr>
                <w:rFonts w:cs="Calibri"/>
                <w:b/>
                <w:color w:val="000000"/>
                <w:sz w:val="20"/>
                <w:szCs w:val="20"/>
              </w:rPr>
              <w:t xml:space="preserve">les conditions émises pour la licéité des clauses de désignation peuvent avoir pour conséquence de limiter, d’encadrer le droit de la négociation collective des interlocuteurs sociaux et de mettre en cause le droit à la détermination par les travailleurs de leurs conditions de travail. </w:t>
            </w:r>
          </w:p>
          <w:p w:rsidR="00656D9B" w:rsidRPr="00327ACF" w:rsidRDefault="00656D9B" w:rsidP="00A97172">
            <w:pPr>
              <w:pStyle w:val="Paragraphedeliste"/>
              <w:numPr>
                <w:ilvl w:val="1"/>
                <w:numId w:val="1"/>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Or, les clauses de désignation ont été rendues licites par l’article L.420-4 du code du commerce (par dérogation aux articles L.420-1 et L. 420-2 qui prohibe les situations d’ententes et de positions dominantes et les pratiques anticoncurrentielles) au regard de l’objectif de solidarité qu’elles poursuivent.  </w:t>
            </w:r>
          </w:p>
        </w:tc>
        <w:tc>
          <w:tcPr>
            <w:tcW w:w="977" w:type="pct"/>
            <w:tcBorders>
              <w:top w:val="single" w:sz="6" w:space="0" w:color="auto"/>
              <w:left w:val="single" w:sz="4" w:space="0" w:color="auto"/>
              <w:bottom w:val="single" w:sz="6" w:space="0" w:color="auto"/>
            </w:tcBorders>
          </w:tcPr>
          <w:p w:rsidR="00656D9B" w:rsidRPr="00327ACF" w:rsidRDefault="00656D9B" w:rsidP="00BD2EEC">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 xml:space="preserve">La généralisation complémentaire santé est mieux prise en compte dans le PL. </w:t>
            </w:r>
          </w:p>
          <w:p w:rsidR="00656D9B" w:rsidRPr="00327ACF" w:rsidRDefault="00656D9B" w:rsidP="00BD2EEC">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BD2EEC">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BD2EEC">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Rétablissement de la possibilité d’instaurer des clauses de désignation dans les accords grâce au PL.</w:t>
            </w:r>
          </w:p>
          <w:p w:rsidR="00656D9B" w:rsidRPr="00327ACF" w:rsidRDefault="00656D9B" w:rsidP="00BD2EEC">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BD2EEC">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BD2EEC">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AE7312">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 xml:space="preserve">La participation employeur  n’est pas figée à 50% comme dans l’ANI. Elle constitue un minimum. </w:t>
            </w:r>
          </w:p>
        </w:tc>
      </w:tr>
      <w:tr w:rsidR="00656D9B" w:rsidRPr="00327ACF" w:rsidTr="00E0775E">
        <w:trPr>
          <w:trHeight w:val="1831"/>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2D37F7">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2</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Compte personnel formation /</w:t>
            </w:r>
          </w:p>
          <w:p w:rsidR="00656D9B" w:rsidRPr="00327ACF" w:rsidRDefault="00656D9B" w:rsidP="00AE7312">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Conseil en évolution professionnelle</w:t>
            </w:r>
          </w:p>
          <w:p w:rsidR="00656D9B" w:rsidRPr="00327ACF" w:rsidRDefault="00656D9B" w:rsidP="00AE7312">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17</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D617E6">
            <w:pPr>
              <w:jc w:val="both"/>
              <w:rPr>
                <w:b/>
                <w:sz w:val="20"/>
                <w:szCs w:val="20"/>
              </w:rPr>
            </w:pPr>
          </w:p>
          <w:p w:rsidR="00656D9B" w:rsidRPr="00327ACF" w:rsidRDefault="00656D9B" w:rsidP="00D617E6">
            <w:pPr>
              <w:jc w:val="both"/>
              <w:rPr>
                <w:sz w:val="20"/>
                <w:szCs w:val="20"/>
              </w:rPr>
            </w:pPr>
            <w:r w:rsidRPr="00327ACF">
              <w:rPr>
                <w:b/>
                <w:sz w:val="20"/>
                <w:szCs w:val="20"/>
              </w:rPr>
              <w:t xml:space="preserve">Ces deux éléments restent totalement abstraits, inapplicables et engendrent de nombreuses questions </w:t>
            </w:r>
            <w:r w:rsidRPr="00327ACF">
              <w:rPr>
                <w:sz w:val="20"/>
                <w:szCs w:val="20"/>
              </w:rPr>
              <w:t xml:space="preserve">sur l’articulation avec notamment le DIF. Aussi, se pose donc la question de l’intelligibilité de la loi, de la responsabilisation forcée du salarié quant à la construction de son parcours et du rôle et des objectifs de la formation professionnelle continue. </w:t>
            </w:r>
          </w:p>
          <w:p w:rsidR="00656D9B" w:rsidRPr="00327ACF" w:rsidRDefault="00656D9B" w:rsidP="006A62E0">
            <w:pPr>
              <w:jc w:val="both"/>
              <w:rPr>
                <w:b/>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F67DAC">
            <w:pPr>
              <w:jc w:val="both"/>
              <w:rPr>
                <w:rFonts w:eastAsia="Arial Unicode MS" w:cs="Calibri"/>
                <w:sz w:val="20"/>
                <w:szCs w:val="20"/>
              </w:rPr>
            </w:pPr>
          </w:p>
          <w:p w:rsidR="00656D9B" w:rsidRPr="00327ACF" w:rsidRDefault="00656D9B" w:rsidP="00F67DAC">
            <w:pPr>
              <w:jc w:val="both"/>
              <w:rPr>
                <w:rFonts w:eastAsia="Arial Unicode MS" w:cs="Calibri"/>
                <w:sz w:val="20"/>
                <w:szCs w:val="20"/>
              </w:rPr>
            </w:pPr>
            <w:r w:rsidRPr="00327ACF">
              <w:rPr>
                <w:rFonts w:eastAsia="Arial Unicode MS" w:cs="Calibri"/>
                <w:sz w:val="20"/>
                <w:szCs w:val="20"/>
              </w:rPr>
              <w:t>Le projet de loi ne reprend pas l’exigence d’une nécessaire adaptation ultérieure des dispositions conventionnelles.</w:t>
            </w:r>
          </w:p>
        </w:tc>
      </w:tr>
      <w:tr w:rsidR="00656D9B" w:rsidRPr="00327ACF" w:rsidTr="00E0775E">
        <w:trPr>
          <w:trHeight w:val="2080"/>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3</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Mobilité volontaire sécurisée</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18</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E711B1">
            <w:pPr>
              <w:autoSpaceDE w:val="0"/>
              <w:autoSpaceDN w:val="0"/>
              <w:adjustRightInd w:val="0"/>
              <w:spacing w:after="0" w:line="240" w:lineRule="auto"/>
              <w:rPr>
                <w:rFonts w:cs="Calibri"/>
                <w:color w:val="000000"/>
                <w:sz w:val="20"/>
                <w:szCs w:val="20"/>
              </w:rPr>
            </w:pPr>
          </w:p>
          <w:p w:rsidR="00656D9B" w:rsidRPr="00327ACF" w:rsidRDefault="00656D9B" w:rsidP="0044014E">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Dans un chapitre sur « les droits nouveaux » or, </w:t>
            </w:r>
            <w:r w:rsidRPr="00327ACF">
              <w:rPr>
                <w:rFonts w:cs="Calibri"/>
                <w:b/>
                <w:color w:val="000000"/>
                <w:sz w:val="20"/>
                <w:szCs w:val="20"/>
              </w:rPr>
              <w:t>l’employeur doit donner son accord</w:t>
            </w:r>
            <w:r w:rsidRPr="00327ACF">
              <w:rPr>
                <w:rFonts w:cs="Calibri"/>
                <w:color w:val="000000"/>
                <w:sz w:val="20"/>
                <w:szCs w:val="20"/>
              </w:rPr>
              <w:t xml:space="preserve">. </w:t>
            </w:r>
            <w:r w:rsidRPr="00327ACF">
              <w:rPr>
                <w:rFonts w:cs="Calibri"/>
                <w:b/>
                <w:color w:val="000000"/>
                <w:sz w:val="20"/>
                <w:szCs w:val="20"/>
              </w:rPr>
              <w:t>Ce n’est donc pas un droit</w:t>
            </w:r>
            <w:r w:rsidRPr="00327ACF">
              <w:rPr>
                <w:rFonts w:cs="Calibri"/>
                <w:color w:val="000000"/>
                <w:sz w:val="20"/>
                <w:szCs w:val="20"/>
              </w:rPr>
              <w:t xml:space="preserve"> comme l’est le congé sabbatique où l’employeur ne peut que reporter le départ du salarié et pas le refuser.  </w:t>
            </w:r>
          </w:p>
          <w:p w:rsidR="00656D9B" w:rsidRPr="00327ACF" w:rsidRDefault="00656D9B" w:rsidP="00D617E6">
            <w:pPr>
              <w:autoSpaceDE w:val="0"/>
              <w:autoSpaceDN w:val="0"/>
              <w:adjustRightInd w:val="0"/>
              <w:spacing w:after="0" w:line="240" w:lineRule="auto"/>
              <w:jc w:val="both"/>
              <w:rPr>
                <w:rFonts w:cs="Calibri"/>
                <w:color w:val="000000"/>
                <w:sz w:val="20"/>
                <w:szCs w:val="20"/>
              </w:rPr>
            </w:pPr>
          </w:p>
          <w:p w:rsidR="00656D9B" w:rsidRPr="00327ACF" w:rsidRDefault="00656D9B" w:rsidP="00D617E6">
            <w:pPr>
              <w:autoSpaceDE w:val="0"/>
              <w:autoSpaceDN w:val="0"/>
              <w:adjustRightInd w:val="0"/>
              <w:spacing w:after="0" w:line="240" w:lineRule="auto"/>
              <w:jc w:val="both"/>
              <w:rPr>
                <w:rFonts w:cs="Calibri"/>
                <w:color w:val="000000"/>
                <w:sz w:val="20"/>
                <w:szCs w:val="20"/>
              </w:rPr>
            </w:pPr>
            <w:r w:rsidRPr="00327ACF">
              <w:rPr>
                <w:rFonts w:cs="Calibri"/>
                <w:b/>
                <w:color w:val="000000"/>
                <w:sz w:val="20"/>
                <w:szCs w:val="20"/>
              </w:rPr>
              <w:t>Ce dispositif n’est pas non plus un dispositif « sécurisé » car, comme</w:t>
            </w:r>
            <w:r w:rsidRPr="00327ACF">
              <w:rPr>
                <w:rFonts w:cs="Calibri"/>
                <w:color w:val="000000"/>
                <w:sz w:val="20"/>
                <w:szCs w:val="20"/>
              </w:rPr>
              <w:t xml:space="preserve"> le congé sabbatique, le retour anticipé dans l’entreprise d’origine n’est pas de droit pour le salarié, il peut seulement être envisagé dans l’avenant.</w:t>
            </w:r>
          </w:p>
          <w:p w:rsidR="00656D9B" w:rsidRPr="00327ACF" w:rsidRDefault="00656D9B" w:rsidP="007B6619">
            <w:pPr>
              <w:autoSpaceDE w:val="0"/>
              <w:autoSpaceDN w:val="0"/>
              <w:adjustRightInd w:val="0"/>
              <w:spacing w:after="0" w:line="240" w:lineRule="auto"/>
              <w:jc w:val="both"/>
              <w:rPr>
                <w:rFonts w:cs="Calibri"/>
                <w:color w:val="000000"/>
                <w:sz w:val="20"/>
                <w:szCs w:val="20"/>
              </w:rPr>
            </w:pPr>
          </w:p>
          <w:p w:rsidR="00656D9B" w:rsidRPr="00327ACF" w:rsidRDefault="00656D9B" w:rsidP="007B6619">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Le texte précise par ailleurs que « l’accès au CIF est de droit si l’employeur oppose deux refus successifs ». </w:t>
            </w:r>
          </w:p>
          <w:p w:rsidR="00656D9B" w:rsidRPr="00327ACF" w:rsidRDefault="00656D9B" w:rsidP="00D641C4">
            <w:pPr>
              <w:pStyle w:val="Paragraphedeliste"/>
              <w:autoSpaceDE w:val="0"/>
              <w:autoSpaceDN w:val="0"/>
              <w:adjustRightInd w:val="0"/>
              <w:spacing w:after="0" w:line="240" w:lineRule="auto"/>
              <w:jc w:val="both"/>
              <w:rPr>
                <w:rFonts w:cs="Calibri"/>
                <w:color w:val="000000"/>
                <w:sz w:val="20"/>
                <w:szCs w:val="20"/>
              </w:rPr>
            </w:pP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w:t>
            </w:r>
            <w:r w:rsidRPr="00327ACF">
              <w:rPr>
                <w:rFonts w:cs="Calibri"/>
                <w:color w:val="000000"/>
                <w:sz w:val="20"/>
                <w:szCs w:val="20"/>
              </w:rPr>
              <w:t xml:space="preserve">Il y a là </w:t>
            </w:r>
            <w:r w:rsidRPr="00327ACF">
              <w:rPr>
                <w:rFonts w:cs="Calibri"/>
                <w:b/>
                <w:color w:val="000000"/>
                <w:sz w:val="20"/>
                <w:szCs w:val="20"/>
              </w:rPr>
              <w:t>une ambiguïté</w:t>
            </w:r>
            <w:r w:rsidRPr="00327ACF">
              <w:rPr>
                <w:rFonts w:cs="Calibri"/>
                <w:color w:val="000000"/>
                <w:sz w:val="20"/>
                <w:szCs w:val="20"/>
              </w:rPr>
              <w:t xml:space="preserve"> entre un dis</w:t>
            </w:r>
            <w:r>
              <w:rPr>
                <w:rFonts w:cs="Calibri"/>
                <w:color w:val="000000"/>
                <w:sz w:val="20"/>
                <w:szCs w:val="20"/>
              </w:rPr>
              <w:t>positif censé permettre l’exercice</w:t>
            </w:r>
            <w:r w:rsidRPr="00327ACF">
              <w:rPr>
                <w:rFonts w:cs="Calibri"/>
                <w:color w:val="000000"/>
                <w:sz w:val="20"/>
                <w:szCs w:val="20"/>
              </w:rPr>
              <w:t xml:space="preserve"> d’une nouvelle activité professionnelle et la mobilisation d’un dispositif de formation professionnelle comme le Congé individuel de formation. </w:t>
            </w:r>
          </w:p>
          <w:p w:rsidR="00656D9B" w:rsidRPr="00327ACF" w:rsidRDefault="00656D9B" w:rsidP="00873CB9">
            <w:pPr>
              <w:pStyle w:val="Paragraphedeliste"/>
              <w:autoSpaceDE w:val="0"/>
              <w:autoSpaceDN w:val="0"/>
              <w:adjustRightInd w:val="0"/>
              <w:spacing w:after="0" w:line="240" w:lineRule="auto"/>
              <w:jc w:val="both"/>
              <w:rPr>
                <w:rFonts w:cs="Calibri"/>
                <w:color w:val="000000"/>
                <w:sz w:val="20"/>
                <w:szCs w:val="20"/>
              </w:rPr>
            </w:pPr>
            <w:r w:rsidRPr="00327ACF">
              <w:rPr>
                <w:rFonts w:ascii="Cambria Math" w:hAnsi="Cambria Math" w:cs="Cambria Math"/>
                <w:color w:val="000000"/>
                <w:sz w:val="20"/>
                <w:szCs w:val="20"/>
              </w:rPr>
              <w:t xml:space="preserve">↳ </w:t>
            </w:r>
            <w:r w:rsidRPr="00327ACF">
              <w:rPr>
                <w:rFonts w:cs="Calibri"/>
                <w:color w:val="000000"/>
                <w:sz w:val="20"/>
                <w:szCs w:val="20"/>
              </w:rPr>
              <w:t>Par ailleurs si dans le cadre du CIF le salarié est en droit d’obtenir l’autori</w:t>
            </w:r>
            <w:r>
              <w:rPr>
                <w:rFonts w:cs="Calibri"/>
                <w:color w:val="000000"/>
                <w:sz w:val="20"/>
                <w:szCs w:val="20"/>
              </w:rPr>
              <w:t xml:space="preserve">sation d’absence pour suivre sa </w:t>
            </w:r>
            <w:r w:rsidRPr="00327ACF">
              <w:rPr>
                <w:rFonts w:cs="Calibri"/>
                <w:color w:val="000000"/>
                <w:sz w:val="20"/>
                <w:szCs w:val="20"/>
              </w:rPr>
              <w:t>formation, cela ne signifie pas qu’il obtiendra le financement de sa formation dans le cadre du CIF.</w:t>
            </w:r>
          </w:p>
          <w:p w:rsidR="00656D9B" w:rsidRPr="00327ACF" w:rsidRDefault="00656D9B" w:rsidP="007B6619">
            <w:pPr>
              <w:autoSpaceDE w:val="0"/>
              <w:autoSpaceDN w:val="0"/>
              <w:adjustRightInd w:val="0"/>
              <w:spacing w:after="0" w:line="240" w:lineRule="auto"/>
              <w:jc w:val="both"/>
              <w:rPr>
                <w:rFonts w:cs="Calibri"/>
                <w:color w:val="000000"/>
                <w:sz w:val="20"/>
                <w:szCs w:val="20"/>
              </w:rPr>
            </w:pPr>
          </w:p>
          <w:p w:rsidR="00656D9B" w:rsidRPr="00327ACF" w:rsidRDefault="00656D9B" w:rsidP="0044014E">
            <w:pPr>
              <w:autoSpaceDE w:val="0"/>
              <w:autoSpaceDN w:val="0"/>
              <w:adjustRightInd w:val="0"/>
              <w:spacing w:after="0" w:line="240" w:lineRule="auto"/>
              <w:jc w:val="both"/>
              <w:rPr>
                <w:rFonts w:cs="Calibri"/>
                <w:color w:val="000000"/>
                <w:sz w:val="20"/>
                <w:szCs w:val="20"/>
              </w:rPr>
            </w:pPr>
            <w:r w:rsidRPr="00327ACF">
              <w:rPr>
                <w:rFonts w:cs="Calibri"/>
                <w:b/>
                <w:color w:val="000000"/>
                <w:sz w:val="20"/>
                <w:szCs w:val="20"/>
              </w:rPr>
              <w:t>L. 1222-12</w:t>
            </w:r>
            <w:r w:rsidRPr="00327ACF">
              <w:rPr>
                <w:rFonts w:cs="Calibri"/>
                <w:color w:val="000000"/>
                <w:sz w:val="20"/>
                <w:szCs w:val="20"/>
              </w:rPr>
              <w:t>, en ce qu’il prévoit que « le contrat de travail est suspendu pendant le temps ou le salarié exerce une activité dans une autre entreprise » nous interroge car c’est l’avenant à ce contrat qui organise les conditions de la mobilité (durée, prise d’effet, terme..) et du retour.</w:t>
            </w:r>
            <w:r w:rsidRPr="00327ACF">
              <w:rPr>
                <w:rFonts w:cs="Calibri"/>
                <w:b/>
                <w:color w:val="000000"/>
                <w:sz w:val="20"/>
                <w:szCs w:val="20"/>
              </w:rPr>
              <w:t xml:space="preserve"> Comment combiner une suspension du contrat et une application de l’avenant qui est attaché au contrat suspendu</w:t>
            </w:r>
            <w:r w:rsidRPr="00327ACF">
              <w:rPr>
                <w:rFonts w:cs="Calibri"/>
                <w:color w:val="000000"/>
                <w:sz w:val="20"/>
                <w:szCs w:val="20"/>
              </w:rPr>
              <w:t xml:space="preserve"> ? </w:t>
            </w:r>
          </w:p>
          <w:p w:rsidR="00656D9B" w:rsidRPr="00327ACF" w:rsidRDefault="00656D9B" w:rsidP="007D378F">
            <w:pPr>
              <w:autoSpaceDE w:val="0"/>
              <w:autoSpaceDN w:val="0"/>
              <w:adjustRightInd w:val="0"/>
              <w:spacing w:after="0" w:line="240" w:lineRule="auto"/>
              <w:rPr>
                <w:rFonts w:cs="Calibri"/>
                <w:color w:val="000000"/>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E711B1">
            <w:pPr>
              <w:autoSpaceDE w:val="0"/>
              <w:autoSpaceDN w:val="0"/>
              <w:adjustRightInd w:val="0"/>
              <w:spacing w:after="0" w:line="240" w:lineRule="auto"/>
              <w:rPr>
                <w:rFonts w:eastAsia="Arial Unicode MS" w:cs="Calibri"/>
                <w:color w:val="000000"/>
                <w:sz w:val="20"/>
                <w:szCs w:val="20"/>
              </w:rPr>
            </w:pPr>
          </w:p>
          <w:p w:rsidR="00656D9B" w:rsidRPr="00327ACF" w:rsidRDefault="00656D9B" w:rsidP="00881B7A">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881B7A">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881B7A">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881B7A">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881B7A">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881B7A">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881B7A">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881B7A">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Le PL va plus loin que </w:t>
            </w:r>
            <w:proofErr w:type="gramStart"/>
            <w:r w:rsidRPr="00327ACF">
              <w:rPr>
                <w:rFonts w:eastAsia="Arial Unicode MS" w:cs="Calibri"/>
                <w:color w:val="000000"/>
                <w:sz w:val="20"/>
                <w:szCs w:val="20"/>
              </w:rPr>
              <w:t>l’ ANI</w:t>
            </w:r>
            <w:proofErr w:type="gramEnd"/>
            <w:r w:rsidRPr="00327ACF">
              <w:rPr>
                <w:rFonts w:eastAsia="Arial Unicode MS" w:cs="Calibri"/>
                <w:color w:val="000000"/>
                <w:sz w:val="20"/>
                <w:szCs w:val="20"/>
              </w:rPr>
              <w:t xml:space="preserve"> qui parlait uniquement d’un « accès privilégié au CIF » en cas de deux refus de l’employeur tout en maintenant la confusion entre ces deux dispositifs. </w:t>
            </w:r>
          </w:p>
          <w:p w:rsidR="00656D9B" w:rsidRPr="00327ACF" w:rsidRDefault="00656D9B" w:rsidP="00881B7A">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4A1C9F">
            <w:pPr>
              <w:autoSpaceDE w:val="0"/>
              <w:autoSpaceDN w:val="0"/>
              <w:adjustRightInd w:val="0"/>
              <w:spacing w:after="0" w:line="240" w:lineRule="auto"/>
              <w:jc w:val="both"/>
              <w:rPr>
                <w:rFonts w:eastAsia="Arial Unicode MS" w:cs="Calibri"/>
                <w:color w:val="000000"/>
                <w:sz w:val="20"/>
                <w:szCs w:val="20"/>
              </w:rPr>
            </w:pPr>
          </w:p>
        </w:tc>
      </w:tr>
      <w:tr w:rsidR="00656D9B" w:rsidRPr="00327ACF" w:rsidTr="00E0775E">
        <w:trPr>
          <w:trHeight w:val="2080"/>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4</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Information consultation IRP</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19</w:t>
            </w: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 xml:space="preserve">Art 4 </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19</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2D37F7">
            <w:pPr>
              <w:autoSpaceDE w:val="0"/>
              <w:autoSpaceDN w:val="0"/>
              <w:adjustRightInd w:val="0"/>
              <w:spacing w:after="0" w:line="240" w:lineRule="auto"/>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4</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25562B">
            <w:pPr>
              <w:autoSpaceDE w:val="0"/>
              <w:autoSpaceDN w:val="0"/>
              <w:adjustRightInd w:val="0"/>
              <w:spacing w:after="0" w:line="240" w:lineRule="auto"/>
              <w:jc w:val="both"/>
              <w:rPr>
                <w:rFonts w:cs="Calibri"/>
                <w:b/>
                <w:color w:val="000000"/>
                <w:sz w:val="20"/>
                <w:szCs w:val="20"/>
              </w:rPr>
            </w:pPr>
          </w:p>
          <w:p w:rsidR="00656D9B" w:rsidRPr="00327ACF" w:rsidRDefault="00656D9B" w:rsidP="0025562B">
            <w:pPr>
              <w:autoSpaceDE w:val="0"/>
              <w:autoSpaceDN w:val="0"/>
              <w:adjustRightInd w:val="0"/>
              <w:spacing w:after="0" w:line="240" w:lineRule="auto"/>
              <w:jc w:val="both"/>
              <w:rPr>
                <w:rFonts w:cs="Calibri"/>
                <w:b/>
                <w:color w:val="000000"/>
                <w:sz w:val="20"/>
                <w:szCs w:val="20"/>
              </w:rPr>
            </w:pPr>
            <w:r w:rsidRPr="00327ACF">
              <w:rPr>
                <w:rFonts w:cs="Calibri"/>
                <w:b/>
                <w:color w:val="000000"/>
                <w:sz w:val="20"/>
                <w:szCs w:val="20"/>
              </w:rPr>
              <w:t xml:space="preserve">Délai de consultation </w:t>
            </w:r>
            <w:proofErr w:type="gramStart"/>
            <w:r w:rsidRPr="00327ACF">
              <w:rPr>
                <w:rFonts w:cs="Calibri"/>
                <w:b/>
                <w:color w:val="000000"/>
                <w:sz w:val="20"/>
                <w:szCs w:val="20"/>
              </w:rPr>
              <w:t>du</w:t>
            </w:r>
            <w:proofErr w:type="gramEnd"/>
            <w:r w:rsidRPr="00327ACF">
              <w:rPr>
                <w:rFonts w:cs="Calibri"/>
                <w:b/>
                <w:color w:val="000000"/>
                <w:sz w:val="20"/>
                <w:szCs w:val="20"/>
              </w:rPr>
              <w:t xml:space="preserve"> CE : </w:t>
            </w:r>
          </w:p>
          <w:p w:rsidR="00656D9B" w:rsidRPr="00327ACF" w:rsidRDefault="00656D9B" w:rsidP="005C02DB">
            <w:pPr>
              <w:pStyle w:val="Paragraphedeliste"/>
              <w:numPr>
                <w:ilvl w:val="0"/>
                <w:numId w:val="22"/>
              </w:numPr>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Dans le cadre des </w:t>
            </w:r>
            <w:r w:rsidRPr="00327ACF">
              <w:rPr>
                <w:rFonts w:cs="Calibri"/>
                <w:b/>
                <w:color w:val="000000"/>
                <w:sz w:val="20"/>
                <w:szCs w:val="20"/>
              </w:rPr>
              <w:t xml:space="preserve">attributions économiques </w:t>
            </w:r>
            <w:proofErr w:type="gramStart"/>
            <w:r w:rsidRPr="00327ACF">
              <w:rPr>
                <w:rFonts w:cs="Calibri"/>
                <w:b/>
                <w:color w:val="000000"/>
                <w:sz w:val="20"/>
                <w:szCs w:val="20"/>
              </w:rPr>
              <w:t>du</w:t>
            </w:r>
            <w:proofErr w:type="gramEnd"/>
            <w:r w:rsidRPr="00327ACF">
              <w:rPr>
                <w:rFonts w:cs="Calibri"/>
                <w:b/>
                <w:color w:val="000000"/>
                <w:sz w:val="20"/>
                <w:szCs w:val="20"/>
              </w:rPr>
              <w:t xml:space="preserve"> CE</w:t>
            </w:r>
            <w:r w:rsidRPr="00327ACF">
              <w:rPr>
                <w:rFonts w:cs="Calibri"/>
                <w:color w:val="000000"/>
                <w:sz w:val="20"/>
                <w:szCs w:val="20"/>
              </w:rPr>
              <w:t xml:space="preserve">, le délai d’examen « classique» du CE sera désormais fixé soit par accord avec l’employeur et les membres du CE, ou, à défaut d’accord, fixé par décret. </w:t>
            </w:r>
          </w:p>
          <w:p w:rsidR="00656D9B" w:rsidRPr="00327ACF" w:rsidRDefault="00656D9B" w:rsidP="0021027D">
            <w:pPr>
              <w:pStyle w:val="Paragraphedeliste"/>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 Ces délais, qui ne peuvent être inférieurs à </w:t>
            </w:r>
            <w:r w:rsidRPr="00327ACF">
              <w:rPr>
                <w:rFonts w:cs="Calibri"/>
                <w:b/>
                <w:color w:val="000000"/>
                <w:sz w:val="20"/>
                <w:szCs w:val="20"/>
              </w:rPr>
              <w:t>15 jours... »</w:t>
            </w:r>
          </w:p>
          <w:p w:rsidR="00656D9B" w:rsidRPr="00327ACF" w:rsidRDefault="00656D9B" w:rsidP="005C02DB">
            <w:pPr>
              <w:pStyle w:val="Paragraphedeliste"/>
              <w:numPr>
                <w:ilvl w:val="1"/>
                <w:numId w:val="22"/>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De quels délais s’agit-il ? ceux qui seront fixés par accord ? ceux du décret ? tous ?</w:t>
            </w:r>
          </w:p>
          <w:p w:rsidR="00656D9B" w:rsidRPr="00327ACF" w:rsidRDefault="00656D9B" w:rsidP="005C02DB">
            <w:pPr>
              <w:pStyle w:val="Paragraphedeliste"/>
              <w:numPr>
                <w:ilvl w:val="1"/>
                <w:numId w:val="22"/>
              </w:numPr>
              <w:autoSpaceDE w:val="0"/>
              <w:autoSpaceDN w:val="0"/>
              <w:adjustRightInd w:val="0"/>
              <w:spacing w:after="0" w:line="240" w:lineRule="auto"/>
              <w:jc w:val="both"/>
              <w:rPr>
                <w:rFonts w:cs="Calibri"/>
                <w:b/>
                <w:color w:val="000000"/>
                <w:sz w:val="20"/>
                <w:szCs w:val="20"/>
              </w:rPr>
            </w:pPr>
            <w:r w:rsidRPr="00327ACF">
              <w:rPr>
                <w:rFonts w:cs="Calibri"/>
                <w:b/>
                <w:color w:val="000000"/>
                <w:sz w:val="20"/>
                <w:szCs w:val="20"/>
              </w:rPr>
              <w:t xml:space="preserve">Le seul but est d’obliger </w:t>
            </w:r>
            <w:proofErr w:type="gramStart"/>
            <w:r w:rsidRPr="00327ACF">
              <w:rPr>
                <w:rFonts w:cs="Calibri"/>
                <w:b/>
                <w:color w:val="000000"/>
                <w:sz w:val="20"/>
                <w:szCs w:val="20"/>
              </w:rPr>
              <w:t>le</w:t>
            </w:r>
            <w:proofErr w:type="gramEnd"/>
            <w:r w:rsidRPr="00327ACF">
              <w:rPr>
                <w:rFonts w:cs="Calibri"/>
                <w:b/>
                <w:color w:val="000000"/>
                <w:sz w:val="20"/>
                <w:szCs w:val="20"/>
              </w:rPr>
              <w:t xml:space="preserve"> CE à être rapide ou de se passer de son avis.</w:t>
            </w:r>
          </w:p>
          <w:p w:rsidR="00656D9B" w:rsidRPr="00327ACF" w:rsidRDefault="00656D9B" w:rsidP="005C02DB">
            <w:pPr>
              <w:pStyle w:val="Paragraphedeliste"/>
              <w:numPr>
                <w:ilvl w:val="0"/>
                <w:numId w:val="21"/>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Comment garantir en si peu de temps l’analyse des informations, la saisine du TGI si ces informations sont insuffisantes, la formulation d’observations à l’employeur puis la réponse motivée de l’employeur à ces observations ?</w:t>
            </w:r>
          </w:p>
          <w:p w:rsidR="00656D9B" w:rsidRPr="00327ACF" w:rsidRDefault="00656D9B" w:rsidP="005C02DB">
            <w:pPr>
              <w:pStyle w:val="Paragraphedeliste"/>
              <w:numPr>
                <w:ilvl w:val="0"/>
                <w:numId w:val="21"/>
              </w:numPr>
              <w:autoSpaceDE w:val="0"/>
              <w:autoSpaceDN w:val="0"/>
              <w:adjustRightInd w:val="0"/>
              <w:spacing w:after="0" w:line="240" w:lineRule="auto"/>
              <w:jc w:val="both"/>
              <w:rPr>
                <w:rFonts w:cs="Calibri"/>
                <w:b/>
                <w:color w:val="000000"/>
                <w:sz w:val="20"/>
                <w:szCs w:val="20"/>
              </w:rPr>
            </w:pPr>
            <w:r w:rsidRPr="00327ACF">
              <w:rPr>
                <w:rFonts w:cs="Calibri"/>
                <w:b/>
                <w:color w:val="000000"/>
                <w:sz w:val="20"/>
                <w:szCs w:val="20"/>
              </w:rPr>
              <w:t xml:space="preserve">Ce qui est primordial, c’est d’assurer au </w:t>
            </w:r>
            <w:proofErr w:type="gramStart"/>
            <w:r w:rsidRPr="00327ACF">
              <w:rPr>
                <w:rFonts w:cs="Calibri"/>
                <w:b/>
                <w:color w:val="000000"/>
                <w:sz w:val="20"/>
                <w:szCs w:val="20"/>
              </w:rPr>
              <w:t>CE</w:t>
            </w:r>
            <w:proofErr w:type="gramEnd"/>
            <w:r w:rsidRPr="00327ACF">
              <w:rPr>
                <w:rFonts w:cs="Calibri"/>
                <w:b/>
                <w:color w:val="000000"/>
                <w:sz w:val="20"/>
                <w:szCs w:val="20"/>
              </w:rPr>
              <w:t xml:space="preserve"> un délai d’examen suffisant qui par ailleurs commence à courir à compter de la remise d’informations adéquates, utiles et complètes (mais pas surabondantes) pour leur permettre de donner un avis circonstancié et éclairé. </w:t>
            </w:r>
          </w:p>
          <w:p w:rsidR="00656D9B" w:rsidRPr="00327ACF" w:rsidRDefault="00656D9B" w:rsidP="005C02DB">
            <w:pPr>
              <w:pStyle w:val="Paragraphedeliste"/>
              <w:numPr>
                <w:ilvl w:val="0"/>
                <w:numId w:val="4"/>
              </w:numPr>
              <w:jc w:val="both"/>
              <w:rPr>
                <w:rFonts w:cs="Calibri"/>
                <w:color w:val="000000"/>
                <w:sz w:val="20"/>
                <w:szCs w:val="20"/>
              </w:rPr>
            </w:pPr>
            <w:r w:rsidRPr="00327ACF">
              <w:rPr>
                <w:rFonts w:cs="Calibri"/>
                <w:color w:val="000000"/>
                <w:sz w:val="20"/>
                <w:szCs w:val="20"/>
              </w:rPr>
              <w:t>Enfin, ce délai est flou car quel en est le point de départ ? L’annonce du projet par l’employeur ou la remise des informations d’autant que dorénavant, il n’y a plus de « remise » mais seulement une mise à disposition permanente dans la base de données ?</w:t>
            </w:r>
          </w:p>
          <w:p w:rsidR="00656D9B" w:rsidRPr="00327ACF" w:rsidRDefault="00656D9B" w:rsidP="005B0061">
            <w:pPr>
              <w:pStyle w:val="Paragraphedeliste"/>
              <w:autoSpaceDE w:val="0"/>
              <w:autoSpaceDN w:val="0"/>
              <w:adjustRightInd w:val="0"/>
              <w:spacing w:after="0" w:line="240" w:lineRule="auto"/>
              <w:jc w:val="both"/>
              <w:rPr>
                <w:rFonts w:cs="Calibri"/>
                <w:color w:val="000000"/>
                <w:sz w:val="20"/>
                <w:szCs w:val="20"/>
              </w:rPr>
            </w:pPr>
          </w:p>
          <w:p w:rsidR="00656D9B" w:rsidRPr="00327ACF" w:rsidRDefault="00656D9B" w:rsidP="005B0061">
            <w:pPr>
              <w:pStyle w:val="Paragraphedeliste"/>
              <w:autoSpaceDE w:val="0"/>
              <w:autoSpaceDN w:val="0"/>
              <w:adjustRightInd w:val="0"/>
              <w:spacing w:after="0" w:line="240" w:lineRule="auto"/>
              <w:jc w:val="both"/>
              <w:rPr>
                <w:rFonts w:cs="Calibri"/>
                <w:color w:val="000000"/>
                <w:sz w:val="20"/>
                <w:szCs w:val="20"/>
              </w:rPr>
            </w:pPr>
          </w:p>
          <w:p w:rsidR="00656D9B" w:rsidRPr="00327ACF" w:rsidRDefault="00656D9B" w:rsidP="005B0061">
            <w:pPr>
              <w:pStyle w:val="Paragraphedeliste"/>
              <w:autoSpaceDE w:val="0"/>
              <w:autoSpaceDN w:val="0"/>
              <w:adjustRightInd w:val="0"/>
              <w:spacing w:after="0" w:line="240" w:lineRule="auto"/>
              <w:jc w:val="both"/>
              <w:rPr>
                <w:rFonts w:cs="Calibri"/>
                <w:color w:val="000000"/>
                <w:sz w:val="20"/>
                <w:szCs w:val="20"/>
              </w:rPr>
            </w:pPr>
          </w:p>
          <w:p w:rsidR="00656D9B" w:rsidRPr="00327ACF" w:rsidRDefault="00656D9B" w:rsidP="005B0061">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Saisine du </w:t>
            </w:r>
            <w:r w:rsidRPr="00327ACF">
              <w:rPr>
                <w:rFonts w:cs="Calibri"/>
                <w:b/>
                <w:color w:val="000000"/>
                <w:sz w:val="20"/>
                <w:szCs w:val="20"/>
              </w:rPr>
              <w:t>juge des référés </w:t>
            </w:r>
            <w:r w:rsidRPr="00327ACF">
              <w:rPr>
                <w:rFonts w:cs="Calibri"/>
                <w:color w:val="000000"/>
                <w:sz w:val="20"/>
                <w:szCs w:val="20"/>
              </w:rPr>
              <w:t xml:space="preserve">: </w:t>
            </w:r>
          </w:p>
          <w:p w:rsidR="00656D9B" w:rsidRPr="00327ACF" w:rsidRDefault="00656D9B" w:rsidP="005C02DB">
            <w:pPr>
              <w:pStyle w:val="Paragraphedeliste"/>
              <w:numPr>
                <w:ilvl w:val="0"/>
                <w:numId w:val="5"/>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Ce ne sont pas les membres élus du CE qui doivent saisir le TGI mais le CE en tant que personne morale, les attributions étant exercées par l’institution et pas par les membres pris individuellement</w:t>
            </w:r>
          </w:p>
          <w:p w:rsidR="00656D9B" w:rsidRPr="00327ACF" w:rsidRDefault="00656D9B" w:rsidP="005C02DB">
            <w:pPr>
              <w:pStyle w:val="Paragraphedeliste"/>
              <w:numPr>
                <w:ilvl w:val="0"/>
                <w:numId w:val="5"/>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Les IRP ne pourront plus utiliser la faculté de report du vote pour obtenir plus d’information</w:t>
            </w:r>
            <w:r>
              <w:rPr>
                <w:rFonts w:cs="Calibri"/>
                <w:color w:val="000000"/>
                <w:sz w:val="20"/>
                <w:szCs w:val="20"/>
              </w:rPr>
              <w:t>s</w:t>
            </w:r>
            <w:r w:rsidRPr="00327ACF">
              <w:rPr>
                <w:rFonts w:cs="Calibri"/>
                <w:color w:val="000000"/>
                <w:sz w:val="20"/>
                <w:szCs w:val="20"/>
              </w:rPr>
              <w:t xml:space="preserve"> et/ou de meilleures informations.</w:t>
            </w:r>
          </w:p>
          <w:p w:rsidR="00656D9B" w:rsidRPr="00327ACF" w:rsidRDefault="00656D9B" w:rsidP="005C02DB">
            <w:pPr>
              <w:pStyle w:val="Paragraphedeliste"/>
              <w:numPr>
                <w:ilvl w:val="0"/>
                <w:numId w:val="5"/>
              </w:numPr>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Comment garantir la faculté pour le juge de décider la prolongation du délai si </w:t>
            </w:r>
            <w:r w:rsidRPr="00327ACF">
              <w:rPr>
                <w:rFonts w:cs="Calibri"/>
                <w:b/>
                <w:color w:val="000000"/>
                <w:sz w:val="20"/>
                <w:szCs w:val="20"/>
              </w:rPr>
              <w:t xml:space="preserve">sa saisine n’empêche pas le délai de courir ? </w:t>
            </w:r>
          </w:p>
          <w:p w:rsidR="00656D9B" w:rsidRPr="00327ACF" w:rsidRDefault="00656D9B" w:rsidP="005C02DB">
            <w:pPr>
              <w:pStyle w:val="Paragraphedeliste"/>
              <w:numPr>
                <w:ilvl w:val="0"/>
                <w:numId w:val="5"/>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En définitive, l’absence de suspension du délai et le fait qu’à l’expiration du délai, le </w:t>
            </w:r>
            <w:proofErr w:type="gramStart"/>
            <w:r w:rsidRPr="00327ACF">
              <w:rPr>
                <w:rFonts w:cs="Calibri"/>
                <w:color w:val="000000"/>
                <w:sz w:val="20"/>
                <w:szCs w:val="20"/>
              </w:rPr>
              <w:t>CE</w:t>
            </w:r>
            <w:proofErr w:type="gramEnd"/>
            <w:r w:rsidRPr="00327ACF">
              <w:rPr>
                <w:rFonts w:cs="Calibri"/>
                <w:color w:val="000000"/>
                <w:sz w:val="20"/>
                <w:szCs w:val="20"/>
              </w:rPr>
              <w:t xml:space="preserve"> est réputé avoir été consulté imposent au CE de saisir le juge des référés suffisamment en amont pour qu’il rende sa décision avant la fin du délai, soit au minimum 8 jours avant la fin du délai, ce qui signifie dans les 6 jours du début du délai de consultation du CE !</w:t>
            </w:r>
          </w:p>
          <w:p w:rsidR="00656D9B" w:rsidRPr="00327ACF" w:rsidRDefault="00656D9B" w:rsidP="005B0061">
            <w:pPr>
              <w:pStyle w:val="Paragraphedeliste"/>
              <w:autoSpaceDE w:val="0"/>
              <w:autoSpaceDN w:val="0"/>
              <w:adjustRightInd w:val="0"/>
              <w:spacing w:after="0" w:line="240" w:lineRule="auto"/>
              <w:jc w:val="both"/>
              <w:rPr>
                <w:rFonts w:cs="Calibri"/>
                <w:color w:val="000000"/>
                <w:sz w:val="20"/>
                <w:szCs w:val="20"/>
              </w:rPr>
            </w:pPr>
          </w:p>
          <w:p w:rsidR="00656D9B" w:rsidRPr="00327ACF" w:rsidRDefault="00656D9B" w:rsidP="000C2E8D">
            <w:pPr>
              <w:autoSpaceDE w:val="0"/>
              <w:autoSpaceDN w:val="0"/>
              <w:adjustRightInd w:val="0"/>
              <w:spacing w:after="0" w:line="240" w:lineRule="auto"/>
              <w:jc w:val="both"/>
              <w:rPr>
                <w:rFonts w:cs="Calibri"/>
                <w:color w:val="000000"/>
                <w:sz w:val="20"/>
                <w:szCs w:val="20"/>
              </w:rPr>
            </w:pPr>
            <w:r w:rsidRPr="00327ACF">
              <w:rPr>
                <w:rFonts w:cs="Calibri"/>
                <w:b/>
                <w:color w:val="000000"/>
                <w:sz w:val="20"/>
                <w:szCs w:val="20"/>
              </w:rPr>
              <w:t xml:space="preserve">Consultation annuelle </w:t>
            </w:r>
            <w:proofErr w:type="gramStart"/>
            <w:r w:rsidRPr="00327ACF">
              <w:rPr>
                <w:rFonts w:cs="Calibri"/>
                <w:b/>
                <w:color w:val="000000"/>
                <w:sz w:val="20"/>
                <w:szCs w:val="20"/>
              </w:rPr>
              <w:t>du</w:t>
            </w:r>
            <w:proofErr w:type="gramEnd"/>
            <w:r w:rsidRPr="00327ACF">
              <w:rPr>
                <w:rFonts w:cs="Calibri"/>
                <w:b/>
                <w:color w:val="000000"/>
                <w:sz w:val="20"/>
                <w:szCs w:val="20"/>
              </w:rPr>
              <w:t xml:space="preserve"> CE sur les orientations stratégiques</w:t>
            </w:r>
            <w:r w:rsidRPr="00327ACF">
              <w:rPr>
                <w:rFonts w:cs="Calibri"/>
                <w:color w:val="000000"/>
                <w:sz w:val="20"/>
                <w:szCs w:val="20"/>
              </w:rPr>
              <w:t xml:space="preserve"> : </w:t>
            </w:r>
          </w:p>
          <w:p w:rsidR="00656D9B" w:rsidRPr="00327ACF" w:rsidRDefault="00656D9B" w:rsidP="00E31005">
            <w:pPr>
              <w:pStyle w:val="Paragraphedeliste"/>
              <w:numPr>
                <w:ilvl w:val="0"/>
                <w:numId w:val="8"/>
              </w:numPr>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Dans le texte de l’avant-projet </w:t>
            </w:r>
            <w:proofErr w:type="gramStart"/>
            <w:r w:rsidRPr="00327ACF">
              <w:rPr>
                <w:rFonts w:cs="Calibri"/>
                <w:color w:val="000000"/>
                <w:sz w:val="20"/>
                <w:szCs w:val="20"/>
              </w:rPr>
              <w:t>le</w:t>
            </w:r>
            <w:proofErr w:type="gramEnd"/>
            <w:r w:rsidRPr="00327ACF">
              <w:rPr>
                <w:rFonts w:cs="Calibri"/>
                <w:color w:val="000000"/>
                <w:sz w:val="20"/>
                <w:szCs w:val="20"/>
              </w:rPr>
              <w:t xml:space="preserve"> CE avait, à défaut d’accord, un délai de deux mois pour rendre son avis. Ce délai a disparu de la nouvelle version du projet de loi.</w:t>
            </w:r>
            <w:r w:rsidRPr="00327ACF">
              <w:rPr>
                <w:rFonts w:cs="Calibri"/>
                <w:b/>
                <w:color w:val="000000"/>
                <w:sz w:val="20"/>
                <w:szCs w:val="20"/>
              </w:rPr>
              <w:t xml:space="preserve"> </w:t>
            </w:r>
          </w:p>
          <w:p w:rsidR="00656D9B" w:rsidRPr="00327ACF" w:rsidRDefault="00656D9B" w:rsidP="00E31005">
            <w:pPr>
              <w:pStyle w:val="Paragraphedeliste"/>
              <w:numPr>
                <w:ilvl w:val="0"/>
                <w:numId w:val="8"/>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La négociation GPEC parlait de « stratégie » or ici il est fait mention d’une consultation sur les « orientations stratégiques  ». Il est certain que les employeurs auront désormais une lecture minimaliste de ce qu’il convient d’entendre par « orientations stratégiques » en donnant des informations beaucoup moins précises puisqu’il ne s’agit plus que « d’orientations ».</w:t>
            </w:r>
          </w:p>
          <w:p w:rsidR="00656D9B" w:rsidRPr="00327ACF" w:rsidRDefault="00656D9B" w:rsidP="00E31005">
            <w:pPr>
              <w:pStyle w:val="Paragraphedeliste"/>
              <w:numPr>
                <w:ilvl w:val="0"/>
                <w:numId w:val="8"/>
              </w:numPr>
              <w:autoSpaceDE w:val="0"/>
              <w:autoSpaceDN w:val="0"/>
              <w:adjustRightInd w:val="0"/>
              <w:spacing w:after="0" w:line="240" w:lineRule="auto"/>
              <w:jc w:val="both"/>
              <w:rPr>
                <w:rFonts w:cs="Calibri"/>
                <w:color w:val="000000"/>
                <w:sz w:val="20"/>
                <w:szCs w:val="20"/>
              </w:rPr>
            </w:pPr>
            <w:r w:rsidRPr="00327ACF">
              <w:rPr>
                <w:rFonts w:cs="Calibri"/>
                <w:b/>
                <w:color w:val="000000"/>
                <w:sz w:val="20"/>
                <w:szCs w:val="20"/>
              </w:rPr>
              <w:t>Financement de l’expertise sur les orientations stratégiques</w:t>
            </w:r>
            <w:r w:rsidRPr="00327ACF">
              <w:rPr>
                <w:rFonts w:cs="Calibri"/>
                <w:color w:val="000000"/>
                <w:sz w:val="20"/>
                <w:szCs w:val="20"/>
              </w:rPr>
              <w:t xml:space="preserve"> : </w:t>
            </w:r>
            <w:proofErr w:type="gramStart"/>
            <w:r w:rsidRPr="00327ACF">
              <w:rPr>
                <w:rFonts w:cs="Calibri"/>
                <w:color w:val="000000"/>
                <w:sz w:val="20"/>
                <w:szCs w:val="20"/>
              </w:rPr>
              <w:t>Le</w:t>
            </w:r>
            <w:proofErr w:type="gramEnd"/>
            <w:r w:rsidRPr="00327ACF">
              <w:rPr>
                <w:rFonts w:cs="Calibri"/>
                <w:color w:val="000000"/>
                <w:sz w:val="20"/>
                <w:szCs w:val="20"/>
              </w:rPr>
              <w:t xml:space="preserve"> CE doit financer l’expert-comptable à hauteur de 20% sur son budget de fonctionnement. Or, cela  aura nécessairement un </w:t>
            </w:r>
            <w:r w:rsidRPr="00327ACF">
              <w:rPr>
                <w:rFonts w:cs="Calibri"/>
                <w:b/>
                <w:color w:val="000000"/>
                <w:sz w:val="20"/>
                <w:szCs w:val="20"/>
              </w:rPr>
              <w:t>effet dissuasif et impactera la faculté du Comité de recourir à un expert et sa capacité de donner un avis éclairé</w:t>
            </w:r>
            <w:r w:rsidRPr="00327ACF">
              <w:rPr>
                <w:rFonts w:cs="Calibri"/>
                <w:color w:val="000000"/>
                <w:sz w:val="20"/>
                <w:szCs w:val="20"/>
              </w:rPr>
              <w:t>.</w:t>
            </w:r>
          </w:p>
          <w:p w:rsidR="00656D9B" w:rsidRPr="00327ACF" w:rsidRDefault="00656D9B" w:rsidP="00E31005">
            <w:pPr>
              <w:pStyle w:val="Paragraphedeliste"/>
              <w:autoSpaceDE w:val="0"/>
              <w:autoSpaceDN w:val="0"/>
              <w:adjustRightInd w:val="0"/>
              <w:spacing w:after="0" w:line="240" w:lineRule="auto"/>
              <w:jc w:val="both"/>
              <w:rPr>
                <w:rFonts w:cs="Calibri"/>
                <w:color w:val="000000"/>
                <w:sz w:val="20"/>
                <w:szCs w:val="20"/>
              </w:rPr>
            </w:pPr>
          </w:p>
          <w:p w:rsidR="00656D9B" w:rsidRPr="00327ACF" w:rsidRDefault="00656D9B" w:rsidP="000C2E8D">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Contenu des </w:t>
            </w:r>
            <w:r w:rsidRPr="00327ACF">
              <w:rPr>
                <w:rFonts w:cs="Calibri"/>
                <w:b/>
                <w:color w:val="000000"/>
                <w:sz w:val="20"/>
                <w:szCs w:val="20"/>
              </w:rPr>
              <w:t>informations de la base de données</w:t>
            </w:r>
            <w:r w:rsidRPr="00327ACF">
              <w:rPr>
                <w:rFonts w:cs="Calibri"/>
                <w:color w:val="000000"/>
                <w:sz w:val="20"/>
                <w:szCs w:val="20"/>
              </w:rPr>
              <w:t xml:space="preserve"> : </w:t>
            </w:r>
          </w:p>
          <w:p w:rsidR="00656D9B" w:rsidRPr="00327ACF" w:rsidRDefault="00656D9B" w:rsidP="005C02DB">
            <w:pPr>
              <w:pStyle w:val="Paragraphedeliste"/>
              <w:numPr>
                <w:ilvl w:val="0"/>
                <w:numId w:val="11"/>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Fixé par décret et pourra varier selon que l’entreprise compte plus ou moins 300 salariés. </w:t>
            </w:r>
          </w:p>
          <w:p w:rsidR="00656D9B" w:rsidRPr="00327ACF" w:rsidRDefault="00656D9B" w:rsidP="005C02DB">
            <w:pPr>
              <w:pStyle w:val="Paragraphedeliste"/>
              <w:numPr>
                <w:ilvl w:val="0"/>
                <w:numId w:val="11"/>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Par ailleurs un accord collectif pourra aussi adapter ce contenu. </w:t>
            </w:r>
          </w:p>
          <w:p w:rsidR="00656D9B" w:rsidRPr="00327ACF" w:rsidRDefault="00656D9B" w:rsidP="005E3CDA">
            <w:pPr>
              <w:autoSpaceDE w:val="0"/>
              <w:autoSpaceDN w:val="0"/>
              <w:adjustRightInd w:val="0"/>
              <w:spacing w:after="0" w:line="240" w:lineRule="auto"/>
              <w:ind w:left="360"/>
              <w:jc w:val="both"/>
              <w:rPr>
                <w:rFonts w:cs="Calibri"/>
                <w:color w:val="000000"/>
                <w:sz w:val="20"/>
                <w:szCs w:val="20"/>
              </w:rPr>
            </w:pPr>
            <w:r w:rsidRPr="00B57219">
              <w:rPr>
                <w:rFonts w:ascii="Arial Unicode MS" w:eastAsia="Arial Unicode MS" w:hAnsi="Arial Unicode MS" w:cs="Arial Unicode MS" w:hint="eastAsia"/>
                <w:color w:val="000000"/>
                <w:sz w:val="20"/>
                <w:szCs w:val="20"/>
              </w:rPr>
              <w:t>⇒</w:t>
            </w:r>
            <w:r w:rsidRPr="00327ACF">
              <w:rPr>
                <w:rFonts w:cs="Calibri"/>
                <w:color w:val="000000"/>
                <w:sz w:val="20"/>
                <w:szCs w:val="20"/>
              </w:rPr>
              <w:t xml:space="preserve"> Il n’y aura donc </w:t>
            </w:r>
            <w:r w:rsidRPr="00327ACF">
              <w:rPr>
                <w:rFonts w:cs="Calibri"/>
                <w:b/>
                <w:color w:val="000000"/>
                <w:sz w:val="20"/>
                <w:szCs w:val="20"/>
              </w:rPr>
              <w:t>plus aucune base légale au contenu de l’information</w:t>
            </w:r>
            <w:r w:rsidRPr="00327ACF">
              <w:rPr>
                <w:rFonts w:cs="Calibri"/>
                <w:color w:val="000000"/>
                <w:sz w:val="20"/>
                <w:szCs w:val="20"/>
              </w:rPr>
              <w:t xml:space="preserve"> que doit fournir l’employeur. Ici la loi ne détermine plus les principes fondamentaux du droit à l’information </w:t>
            </w:r>
            <w:proofErr w:type="gramStart"/>
            <w:r w:rsidRPr="00327ACF">
              <w:rPr>
                <w:rFonts w:cs="Calibri"/>
                <w:color w:val="000000"/>
                <w:sz w:val="20"/>
                <w:szCs w:val="20"/>
              </w:rPr>
              <w:t>du</w:t>
            </w:r>
            <w:proofErr w:type="gramEnd"/>
            <w:r w:rsidRPr="00327ACF">
              <w:rPr>
                <w:rFonts w:cs="Calibri"/>
                <w:color w:val="000000"/>
                <w:sz w:val="20"/>
                <w:szCs w:val="20"/>
              </w:rPr>
              <w:t xml:space="preserve"> CE, ce qui est contraire à l'article 34 de la Constitution. </w:t>
            </w:r>
          </w:p>
          <w:p w:rsidR="00656D9B" w:rsidRPr="00327ACF" w:rsidRDefault="00656D9B" w:rsidP="00D36213">
            <w:pPr>
              <w:autoSpaceDE w:val="0"/>
              <w:autoSpaceDN w:val="0"/>
              <w:adjustRightInd w:val="0"/>
              <w:spacing w:after="0" w:line="240" w:lineRule="auto"/>
              <w:jc w:val="both"/>
              <w:rPr>
                <w:rFonts w:cs="Calibri"/>
                <w:color w:val="000000"/>
                <w:sz w:val="20"/>
                <w:szCs w:val="20"/>
              </w:rPr>
            </w:pPr>
          </w:p>
          <w:p w:rsidR="00656D9B" w:rsidRPr="00327ACF" w:rsidRDefault="00656D9B" w:rsidP="00E31005">
            <w:pPr>
              <w:autoSpaceDE w:val="0"/>
              <w:autoSpaceDN w:val="0"/>
              <w:adjustRightInd w:val="0"/>
              <w:spacing w:after="0" w:line="240" w:lineRule="auto"/>
              <w:ind w:left="360"/>
              <w:jc w:val="both"/>
              <w:rPr>
                <w:rFonts w:cs="Calibri"/>
                <w:color w:val="000000"/>
                <w:sz w:val="20"/>
                <w:szCs w:val="20"/>
              </w:rPr>
            </w:pPr>
            <w:r w:rsidRPr="00B57219">
              <w:rPr>
                <w:rFonts w:ascii="Arial Unicode MS" w:eastAsia="Arial Unicode MS" w:hAnsi="Arial Unicode MS" w:cs="Arial Unicode MS" w:hint="eastAsia"/>
                <w:color w:val="000000"/>
                <w:sz w:val="20"/>
                <w:szCs w:val="20"/>
              </w:rPr>
              <w:t>⇒</w:t>
            </w:r>
            <w:r w:rsidRPr="00B57219">
              <w:rPr>
                <w:rFonts w:ascii="Arial Unicode MS" w:eastAsia="Arial Unicode MS" w:hAnsi="Arial Unicode MS" w:cs="Arial Unicode MS"/>
                <w:color w:val="000000"/>
                <w:sz w:val="20"/>
                <w:szCs w:val="20"/>
              </w:rPr>
              <w:t xml:space="preserve"> </w:t>
            </w:r>
            <w:r w:rsidRPr="00327ACF">
              <w:rPr>
                <w:rFonts w:cs="Calibri"/>
                <w:color w:val="000000"/>
                <w:sz w:val="20"/>
                <w:szCs w:val="20"/>
              </w:rPr>
              <w:t xml:space="preserve">C’est aussi un </w:t>
            </w:r>
            <w:r w:rsidRPr="00327ACF">
              <w:rPr>
                <w:rFonts w:cs="Calibri"/>
                <w:b/>
                <w:color w:val="000000"/>
                <w:sz w:val="20"/>
                <w:szCs w:val="20"/>
              </w:rPr>
              <w:t>renversement radical de la responsabilité en matière d’information des IRP qui s’opère</w:t>
            </w:r>
            <w:r w:rsidRPr="00327ACF">
              <w:rPr>
                <w:rFonts w:cs="Calibri"/>
                <w:color w:val="000000"/>
                <w:sz w:val="20"/>
                <w:szCs w:val="20"/>
              </w:rPr>
              <w:t xml:space="preserve">. Ce sera en effet au CE de trouver l’information pertinente, l’employeur, lui aura satisfait à son obligation d’information. Ce dispositif contrevient à la Directive européenne n°14/2002 établissant un cadre général relatif à l'information et la </w:t>
            </w:r>
            <w:r w:rsidRPr="00327ACF">
              <w:rPr>
                <w:rFonts w:cs="Calibri"/>
                <w:color w:val="000000"/>
                <w:sz w:val="20"/>
                <w:szCs w:val="20"/>
              </w:rPr>
              <w:lastRenderedPageBreak/>
              <w:t>consultation des travailleurs dans la  Communauté  Européenne (transmissions de données par l’employeur).</w:t>
            </w:r>
          </w:p>
          <w:p w:rsidR="00656D9B" w:rsidRPr="00327ACF" w:rsidRDefault="00656D9B" w:rsidP="004C69B8">
            <w:pPr>
              <w:autoSpaceDE w:val="0"/>
              <w:autoSpaceDN w:val="0"/>
              <w:adjustRightInd w:val="0"/>
              <w:spacing w:after="0" w:line="240" w:lineRule="auto"/>
              <w:jc w:val="both"/>
              <w:rPr>
                <w:rFonts w:cs="Calibri"/>
                <w:b/>
                <w:color w:val="000000"/>
                <w:sz w:val="20"/>
                <w:szCs w:val="20"/>
              </w:rPr>
            </w:pPr>
            <w:r w:rsidRPr="00327ACF">
              <w:rPr>
                <w:rFonts w:cs="Calibri"/>
                <w:b/>
                <w:color w:val="000000"/>
                <w:sz w:val="20"/>
                <w:szCs w:val="20"/>
              </w:rPr>
              <w:t xml:space="preserve">Délai de l’expertise : </w:t>
            </w:r>
          </w:p>
          <w:p w:rsidR="00656D9B" w:rsidRPr="00327ACF" w:rsidRDefault="00656D9B" w:rsidP="005C02DB">
            <w:pPr>
              <w:pStyle w:val="Paragraphedeliste"/>
              <w:numPr>
                <w:ilvl w:val="0"/>
                <w:numId w:val="7"/>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La loi se doit de poser des prescriptions minimales en matière de délai et </w:t>
            </w:r>
            <w:r w:rsidRPr="00327ACF">
              <w:rPr>
                <w:rFonts w:cs="Calibri"/>
                <w:b/>
                <w:color w:val="000000"/>
                <w:sz w:val="20"/>
                <w:szCs w:val="20"/>
              </w:rPr>
              <w:t>ne peut se contenter de renvoyer à un décret, à défaut d’accord</w:t>
            </w:r>
            <w:r w:rsidRPr="00327ACF">
              <w:rPr>
                <w:rFonts w:cs="Calibri"/>
                <w:color w:val="000000"/>
                <w:sz w:val="20"/>
                <w:szCs w:val="20"/>
              </w:rPr>
              <w:t xml:space="preserve">. </w:t>
            </w:r>
          </w:p>
          <w:p w:rsidR="00656D9B" w:rsidRPr="00327ACF" w:rsidRDefault="00656D9B" w:rsidP="00E31005">
            <w:pPr>
              <w:pStyle w:val="Paragraphedeliste"/>
              <w:autoSpaceDE w:val="0"/>
              <w:autoSpaceDN w:val="0"/>
              <w:adjustRightInd w:val="0"/>
              <w:spacing w:after="0" w:line="240" w:lineRule="auto"/>
              <w:jc w:val="both"/>
              <w:rPr>
                <w:rFonts w:cs="Calibri"/>
                <w:color w:val="000000"/>
                <w:sz w:val="20"/>
                <w:szCs w:val="20"/>
              </w:rPr>
            </w:pPr>
          </w:p>
          <w:p w:rsidR="00656D9B" w:rsidRPr="00327ACF" w:rsidRDefault="00656D9B" w:rsidP="00E31005">
            <w:pPr>
              <w:autoSpaceDE w:val="0"/>
              <w:autoSpaceDN w:val="0"/>
              <w:adjustRightInd w:val="0"/>
              <w:spacing w:after="0" w:line="240" w:lineRule="auto"/>
              <w:jc w:val="both"/>
              <w:rPr>
                <w:rFonts w:cs="Calibri"/>
                <w:color w:val="000000"/>
                <w:sz w:val="20"/>
                <w:szCs w:val="20"/>
              </w:rPr>
            </w:pPr>
            <w:r w:rsidRPr="00327ACF">
              <w:rPr>
                <w:rFonts w:cs="Calibri"/>
                <w:b/>
                <w:color w:val="000000"/>
                <w:sz w:val="20"/>
                <w:szCs w:val="20"/>
              </w:rPr>
              <w:t>Crédit impôt compétitivité emploi (CICE) et consultation du comité</w:t>
            </w:r>
            <w:r w:rsidRPr="00327ACF">
              <w:rPr>
                <w:rFonts w:cs="Calibri"/>
                <w:color w:val="000000"/>
                <w:sz w:val="20"/>
                <w:szCs w:val="20"/>
              </w:rPr>
              <w:t> : S’agissant de la consultation du CE sur l’utilisation du CICE, la réponse de l’employeur a une demande d’explication sur l’utilisation du CICE est motivée et adressée au CE. Dans l’avant-projet de loi cette réponse était aussi adressée à l’autorité administrative. Ce n’est plus le cas.</w:t>
            </w:r>
          </w:p>
          <w:p w:rsidR="00656D9B" w:rsidRPr="00327ACF" w:rsidRDefault="00656D9B" w:rsidP="00211691">
            <w:pPr>
              <w:autoSpaceDE w:val="0"/>
              <w:autoSpaceDN w:val="0"/>
              <w:adjustRightInd w:val="0"/>
              <w:spacing w:after="0" w:line="240" w:lineRule="auto"/>
              <w:jc w:val="both"/>
              <w:rPr>
                <w:rFonts w:cs="Calibri"/>
                <w:color w:val="000000"/>
                <w:sz w:val="20"/>
                <w:szCs w:val="20"/>
              </w:rPr>
            </w:pPr>
          </w:p>
          <w:p w:rsidR="00656D9B" w:rsidRPr="00327ACF" w:rsidRDefault="00656D9B" w:rsidP="00211691">
            <w:pPr>
              <w:autoSpaceDE w:val="0"/>
              <w:autoSpaceDN w:val="0"/>
              <w:adjustRightInd w:val="0"/>
              <w:spacing w:after="0" w:line="240" w:lineRule="auto"/>
              <w:jc w:val="both"/>
              <w:rPr>
                <w:rFonts w:cs="Calibri"/>
                <w:color w:val="000000"/>
                <w:sz w:val="20"/>
                <w:szCs w:val="20"/>
              </w:rPr>
            </w:pPr>
          </w:p>
          <w:p w:rsidR="00656D9B" w:rsidRPr="00327ACF" w:rsidRDefault="00656D9B" w:rsidP="00D728AA">
            <w:pPr>
              <w:autoSpaceDE w:val="0"/>
              <w:autoSpaceDN w:val="0"/>
              <w:adjustRightInd w:val="0"/>
              <w:spacing w:after="0" w:line="240" w:lineRule="auto"/>
              <w:jc w:val="both"/>
              <w:rPr>
                <w:rFonts w:cs="Calibri"/>
                <w:color w:val="000000"/>
                <w:sz w:val="20"/>
                <w:szCs w:val="20"/>
              </w:rPr>
            </w:pPr>
            <w:r w:rsidRPr="00327ACF">
              <w:rPr>
                <w:rFonts w:cs="Calibri"/>
                <w:b/>
                <w:color w:val="000000"/>
                <w:sz w:val="20"/>
                <w:szCs w:val="20"/>
              </w:rPr>
              <w:t xml:space="preserve">L’Instance de coordination ad hoc des CHSCT </w:t>
            </w:r>
            <w:r w:rsidRPr="00327ACF">
              <w:rPr>
                <w:rFonts w:cs="Calibri"/>
                <w:color w:val="000000"/>
                <w:sz w:val="20"/>
                <w:szCs w:val="20"/>
              </w:rPr>
              <w:t xml:space="preserve">: </w:t>
            </w:r>
          </w:p>
          <w:p w:rsidR="00656D9B" w:rsidRPr="00327ACF" w:rsidRDefault="00656D9B" w:rsidP="00D728AA">
            <w:pPr>
              <w:pStyle w:val="Paragraphedeliste"/>
              <w:numPr>
                <w:ilvl w:val="0"/>
                <w:numId w:val="6"/>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L’employeur </w:t>
            </w:r>
            <w:r w:rsidRPr="00327ACF">
              <w:rPr>
                <w:rFonts w:cs="Calibri"/>
                <w:b/>
                <w:color w:val="000000"/>
                <w:sz w:val="20"/>
                <w:szCs w:val="20"/>
              </w:rPr>
              <w:t>peut mettre en place</w:t>
            </w:r>
            <w:r w:rsidRPr="00327ACF">
              <w:rPr>
                <w:rFonts w:cs="Calibri"/>
                <w:color w:val="000000"/>
                <w:sz w:val="20"/>
                <w:szCs w:val="20"/>
              </w:rPr>
              <w:t xml:space="preserve"> une instance de coordination : il s’agit donc d’une simple possibilité même si, à n’en pas douter, les employeurs s’en saisiront pour faire baisser les coûts d’expertise.</w:t>
            </w:r>
          </w:p>
          <w:p w:rsidR="00656D9B" w:rsidRPr="00327ACF" w:rsidRDefault="00656D9B" w:rsidP="00D728AA">
            <w:pPr>
              <w:pStyle w:val="Paragraphedeliste"/>
              <w:autoSpaceDE w:val="0"/>
              <w:autoSpaceDN w:val="0"/>
              <w:adjustRightInd w:val="0"/>
              <w:spacing w:after="0" w:line="240" w:lineRule="auto"/>
              <w:jc w:val="both"/>
              <w:rPr>
                <w:rFonts w:cs="Calibri"/>
                <w:color w:val="000000"/>
                <w:sz w:val="20"/>
                <w:szCs w:val="20"/>
              </w:rPr>
            </w:pPr>
          </w:p>
          <w:p w:rsidR="00656D9B" w:rsidRPr="00327ACF" w:rsidRDefault="00656D9B" w:rsidP="00D728AA">
            <w:pPr>
              <w:pStyle w:val="Paragraphedeliste"/>
              <w:numPr>
                <w:ilvl w:val="0"/>
                <w:numId w:val="6"/>
              </w:numPr>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Un accord d’entreprise peut prévoir des modalités de composition et de fonctionnement de l’instance de coordination.  </w:t>
            </w:r>
            <w:r w:rsidRPr="00327ACF">
              <w:rPr>
                <w:rFonts w:cs="Calibri"/>
                <w:b/>
                <w:color w:val="000000"/>
                <w:sz w:val="20"/>
                <w:szCs w:val="20"/>
              </w:rPr>
              <w:t xml:space="preserve">Il peut notamment prévoir que la consultation de l’instance de coordination se substitue aux consultations des CHSCT d’établissements ce qui aboutira à la disparition des CHSCT locaux. </w:t>
            </w:r>
          </w:p>
          <w:p w:rsidR="00656D9B" w:rsidRPr="00327ACF" w:rsidRDefault="00656D9B" w:rsidP="00D728AA">
            <w:pPr>
              <w:autoSpaceDE w:val="0"/>
              <w:autoSpaceDN w:val="0"/>
              <w:adjustRightInd w:val="0"/>
              <w:spacing w:after="0" w:line="240" w:lineRule="auto"/>
              <w:jc w:val="both"/>
              <w:rPr>
                <w:rFonts w:cs="Calibri"/>
                <w:b/>
                <w:color w:val="000000"/>
                <w:sz w:val="20"/>
                <w:szCs w:val="20"/>
              </w:rPr>
            </w:pPr>
          </w:p>
          <w:p w:rsidR="00656D9B" w:rsidRPr="00327ACF" w:rsidRDefault="00656D9B" w:rsidP="00D728AA">
            <w:pPr>
              <w:pStyle w:val="Paragraphedeliste"/>
              <w:numPr>
                <w:ilvl w:val="0"/>
                <w:numId w:val="4"/>
              </w:numPr>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Le nouveau texte oscille entre expertise unique et consultation unique puisqu’à partir de l’expertise unique l’instance ad hoc </w:t>
            </w:r>
            <w:r w:rsidRPr="00327ACF">
              <w:rPr>
                <w:rFonts w:cs="Calibri"/>
                <w:b/>
                <w:color w:val="000000"/>
                <w:sz w:val="20"/>
                <w:szCs w:val="20"/>
              </w:rPr>
              <w:t>se prononce sur le rapport</w:t>
            </w:r>
            <w:r w:rsidRPr="00327ACF">
              <w:rPr>
                <w:rFonts w:cs="Calibri"/>
                <w:color w:val="000000"/>
                <w:sz w:val="20"/>
                <w:szCs w:val="20"/>
              </w:rPr>
              <w:t xml:space="preserve"> qui en résulte en lieu et place des CHSCT locaux.</w:t>
            </w:r>
          </w:p>
          <w:p w:rsidR="00656D9B" w:rsidRPr="00327ACF" w:rsidRDefault="00656D9B" w:rsidP="00D728AA">
            <w:pPr>
              <w:pStyle w:val="Paragraphedeliste"/>
              <w:autoSpaceDE w:val="0"/>
              <w:autoSpaceDN w:val="0"/>
              <w:adjustRightInd w:val="0"/>
              <w:spacing w:after="0" w:line="240" w:lineRule="auto"/>
              <w:jc w:val="both"/>
              <w:rPr>
                <w:rFonts w:cs="Calibri"/>
                <w:b/>
                <w:color w:val="000000"/>
                <w:sz w:val="20"/>
                <w:szCs w:val="20"/>
              </w:rPr>
            </w:pPr>
            <w:r>
              <w:rPr>
                <w:rFonts w:ascii="Arial Unicode MS" w:eastAsia="Arial Unicode MS" w:hAnsi="Arial Unicode MS" w:cs="Arial Unicode MS" w:hint="eastAsia"/>
                <w:b/>
                <w:color w:val="000000"/>
                <w:sz w:val="20"/>
                <w:szCs w:val="20"/>
              </w:rPr>
              <w:t>↳</w:t>
            </w:r>
            <w:r w:rsidRPr="00327ACF">
              <w:rPr>
                <w:rFonts w:cs="Calibri"/>
                <w:b/>
                <w:color w:val="000000"/>
                <w:sz w:val="20"/>
                <w:szCs w:val="20"/>
              </w:rPr>
              <w:t xml:space="preserve"> s’agissant d’expertises techniques, sur les conditions de travail et la santé et la sécurité des travailleurs celles-ci doivent continuer à se faire et à se décider site par site au regard de l’impact des projets de réorganisation de l’entreprise sur chaque site. </w:t>
            </w:r>
          </w:p>
          <w:p w:rsidR="00656D9B" w:rsidRPr="00327ACF" w:rsidRDefault="00656D9B" w:rsidP="002B76F7">
            <w:pPr>
              <w:autoSpaceDE w:val="0"/>
              <w:autoSpaceDN w:val="0"/>
              <w:adjustRightInd w:val="0"/>
              <w:spacing w:after="0" w:line="240" w:lineRule="auto"/>
              <w:jc w:val="both"/>
              <w:rPr>
                <w:rFonts w:cs="Calibri"/>
                <w:b/>
                <w:color w:val="000000"/>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Instauration d’un délai minimal mais les 15 jours sont loin d’être suffisants pour que les IRP puissent exercer utilement leurs attributions.</w:t>
            </w: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 xml:space="preserve">Ce point n’a pas été soumis à la négociation par le document d’orientation et donc pas envisagé dans l’ANI. </w:t>
            </w: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 xml:space="preserve">L’instance ad hoc CHSCT est mise en place de façon facultative alors que l’ANI utilisait l’impératif et le champ d’intervention de l’expertise dans le cadre de l’instance ad hoc est restreint par rapport à l’ANI. </w:t>
            </w: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C2E8D">
            <w:pPr>
              <w:autoSpaceDE w:val="0"/>
              <w:autoSpaceDN w:val="0"/>
              <w:adjustRightInd w:val="0"/>
              <w:spacing w:after="0" w:line="240" w:lineRule="auto"/>
              <w:jc w:val="both"/>
              <w:rPr>
                <w:rFonts w:eastAsia="Arial Unicode MS" w:cs="Calibri"/>
                <w:color w:val="000000"/>
                <w:sz w:val="20"/>
                <w:szCs w:val="20"/>
              </w:rPr>
            </w:pPr>
          </w:p>
        </w:tc>
      </w:tr>
      <w:tr w:rsidR="00656D9B" w:rsidRPr="00327ACF" w:rsidTr="00E0775E">
        <w:trPr>
          <w:trHeight w:val="2080"/>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873CB9" w:rsidRDefault="00656D9B" w:rsidP="00824E47">
            <w:pPr>
              <w:autoSpaceDE w:val="0"/>
              <w:autoSpaceDN w:val="0"/>
              <w:adjustRightInd w:val="0"/>
              <w:spacing w:after="0" w:line="240" w:lineRule="auto"/>
              <w:rPr>
                <w:rFonts w:cs="Calibri"/>
                <w:bCs/>
                <w:color w:val="000000"/>
                <w:sz w:val="20"/>
                <w:szCs w:val="20"/>
              </w:rPr>
            </w:pPr>
          </w:p>
          <w:p w:rsidR="00656D9B" w:rsidRPr="00873CB9" w:rsidRDefault="00656D9B" w:rsidP="00DC5EB7">
            <w:pPr>
              <w:autoSpaceDE w:val="0"/>
              <w:autoSpaceDN w:val="0"/>
              <w:adjustRightInd w:val="0"/>
              <w:spacing w:after="0" w:line="240" w:lineRule="auto"/>
              <w:jc w:val="center"/>
              <w:rPr>
                <w:rFonts w:cs="Calibri"/>
                <w:bCs/>
                <w:color w:val="000000"/>
                <w:sz w:val="20"/>
                <w:szCs w:val="20"/>
              </w:rPr>
            </w:pPr>
            <w:r w:rsidRPr="00873CB9">
              <w:rPr>
                <w:rFonts w:cs="Calibri"/>
                <w:bCs/>
                <w:color w:val="000000"/>
                <w:sz w:val="20"/>
                <w:szCs w:val="20"/>
              </w:rPr>
              <w:t>Art 5</w:t>
            </w:r>
          </w:p>
          <w:p w:rsidR="00656D9B" w:rsidRPr="00873CB9" w:rsidRDefault="00656D9B" w:rsidP="001B256B">
            <w:pPr>
              <w:autoSpaceDE w:val="0"/>
              <w:autoSpaceDN w:val="0"/>
              <w:adjustRightInd w:val="0"/>
              <w:spacing w:after="0" w:line="240" w:lineRule="auto"/>
              <w:jc w:val="center"/>
              <w:rPr>
                <w:rFonts w:cs="Calibri"/>
                <w:bCs/>
                <w:color w:val="000000"/>
                <w:sz w:val="20"/>
                <w:szCs w:val="20"/>
              </w:rPr>
            </w:pPr>
            <w:r w:rsidRPr="00873CB9">
              <w:rPr>
                <w:rFonts w:cs="Calibri"/>
                <w:bCs/>
                <w:color w:val="000000"/>
                <w:sz w:val="20"/>
                <w:szCs w:val="20"/>
              </w:rPr>
              <w:t>Gouvernance des entreprises</w:t>
            </w:r>
          </w:p>
          <w:p w:rsidR="00656D9B" w:rsidRPr="00873CB9" w:rsidRDefault="00656D9B" w:rsidP="001B256B">
            <w:pPr>
              <w:autoSpaceDE w:val="0"/>
              <w:autoSpaceDN w:val="0"/>
              <w:adjustRightInd w:val="0"/>
              <w:spacing w:after="0" w:line="240" w:lineRule="auto"/>
              <w:jc w:val="center"/>
              <w:rPr>
                <w:rFonts w:cs="Calibri"/>
                <w:bCs/>
                <w:color w:val="000000"/>
                <w:sz w:val="20"/>
                <w:szCs w:val="20"/>
              </w:rPr>
            </w:pPr>
          </w:p>
          <w:p w:rsidR="00656D9B" w:rsidRPr="00873CB9" w:rsidRDefault="00656D9B" w:rsidP="001B256B">
            <w:pPr>
              <w:autoSpaceDE w:val="0"/>
              <w:autoSpaceDN w:val="0"/>
              <w:adjustRightInd w:val="0"/>
              <w:spacing w:after="0" w:line="240" w:lineRule="auto"/>
              <w:jc w:val="center"/>
              <w:rPr>
                <w:rFonts w:cs="Calibri"/>
                <w:bCs/>
                <w:color w:val="000000"/>
                <w:sz w:val="20"/>
                <w:szCs w:val="20"/>
              </w:rPr>
            </w:pPr>
          </w:p>
          <w:p w:rsidR="00656D9B" w:rsidRPr="00873CB9" w:rsidRDefault="00656D9B" w:rsidP="001B256B">
            <w:pPr>
              <w:autoSpaceDE w:val="0"/>
              <w:autoSpaceDN w:val="0"/>
              <w:adjustRightInd w:val="0"/>
              <w:spacing w:after="0" w:line="240" w:lineRule="auto"/>
              <w:jc w:val="center"/>
              <w:rPr>
                <w:rFonts w:cs="Calibri"/>
                <w:bCs/>
                <w:color w:val="000000"/>
                <w:sz w:val="20"/>
                <w:szCs w:val="20"/>
              </w:rPr>
            </w:pPr>
            <w:r w:rsidRPr="00873CB9">
              <w:rPr>
                <w:rFonts w:cs="Calibri"/>
                <w:bCs/>
                <w:color w:val="000000"/>
                <w:sz w:val="20"/>
                <w:szCs w:val="20"/>
              </w:rPr>
              <w:t>Page 24</w:t>
            </w:r>
          </w:p>
          <w:p w:rsidR="00656D9B" w:rsidRPr="00873CB9" w:rsidRDefault="00656D9B" w:rsidP="001B256B">
            <w:pPr>
              <w:autoSpaceDE w:val="0"/>
              <w:autoSpaceDN w:val="0"/>
              <w:adjustRightInd w:val="0"/>
              <w:spacing w:after="0" w:line="240" w:lineRule="auto"/>
              <w:jc w:val="center"/>
              <w:rPr>
                <w:rFonts w:cs="Calibri"/>
                <w:bCs/>
                <w:color w:val="000000"/>
                <w:sz w:val="20"/>
                <w:szCs w:val="20"/>
              </w:rPr>
            </w:pPr>
          </w:p>
          <w:p w:rsidR="00656D9B" w:rsidRPr="00873CB9" w:rsidRDefault="00656D9B" w:rsidP="001B256B">
            <w:pPr>
              <w:autoSpaceDE w:val="0"/>
              <w:autoSpaceDN w:val="0"/>
              <w:adjustRightInd w:val="0"/>
              <w:spacing w:after="0" w:line="240" w:lineRule="auto"/>
              <w:jc w:val="center"/>
              <w:rPr>
                <w:rFonts w:cs="Calibri"/>
                <w:bCs/>
                <w:color w:val="000000"/>
                <w:sz w:val="20"/>
                <w:szCs w:val="20"/>
              </w:rPr>
            </w:pPr>
          </w:p>
          <w:p w:rsidR="00656D9B" w:rsidRPr="00873CB9" w:rsidRDefault="00656D9B" w:rsidP="001B256B">
            <w:pPr>
              <w:autoSpaceDE w:val="0"/>
              <w:autoSpaceDN w:val="0"/>
              <w:adjustRightInd w:val="0"/>
              <w:spacing w:after="0" w:line="240" w:lineRule="auto"/>
              <w:jc w:val="center"/>
              <w:rPr>
                <w:rFonts w:cs="Calibri"/>
                <w:bCs/>
                <w:color w:val="000000"/>
                <w:sz w:val="20"/>
                <w:szCs w:val="20"/>
              </w:rPr>
            </w:pPr>
          </w:p>
          <w:p w:rsidR="00656D9B" w:rsidRPr="00873CB9" w:rsidRDefault="00656D9B" w:rsidP="001B256B">
            <w:pPr>
              <w:autoSpaceDE w:val="0"/>
              <w:autoSpaceDN w:val="0"/>
              <w:adjustRightInd w:val="0"/>
              <w:spacing w:after="0" w:line="240" w:lineRule="auto"/>
              <w:jc w:val="center"/>
              <w:rPr>
                <w:rFonts w:cs="Calibri"/>
                <w:bCs/>
                <w:color w:val="000000"/>
                <w:sz w:val="20"/>
                <w:szCs w:val="20"/>
              </w:rPr>
            </w:pPr>
          </w:p>
          <w:p w:rsidR="00656D9B" w:rsidRPr="00873CB9" w:rsidRDefault="00656D9B" w:rsidP="001B256B">
            <w:pPr>
              <w:autoSpaceDE w:val="0"/>
              <w:autoSpaceDN w:val="0"/>
              <w:adjustRightInd w:val="0"/>
              <w:spacing w:after="0" w:line="240" w:lineRule="auto"/>
              <w:jc w:val="center"/>
              <w:rPr>
                <w:rFonts w:cs="Calibri"/>
                <w:bCs/>
                <w:color w:val="000000"/>
                <w:sz w:val="20"/>
                <w:szCs w:val="20"/>
              </w:rPr>
            </w:pPr>
          </w:p>
          <w:p w:rsidR="00656D9B" w:rsidRPr="00873CB9" w:rsidRDefault="00656D9B" w:rsidP="001B256B">
            <w:pPr>
              <w:autoSpaceDE w:val="0"/>
              <w:autoSpaceDN w:val="0"/>
              <w:adjustRightInd w:val="0"/>
              <w:spacing w:after="0" w:line="240" w:lineRule="auto"/>
              <w:jc w:val="center"/>
              <w:rPr>
                <w:rFonts w:cs="Calibri"/>
                <w:bCs/>
                <w:color w:val="000000"/>
                <w:sz w:val="20"/>
                <w:szCs w:val="20"/>
              </w:rPr>
            </w:pPr>
          </w:p>
          <w:p w:rsidR="00656D9B" w:rsidRPr="00873CB9" w:rsidRDefault="00656D9B" w:rsidP="001B256B">
            <w:pPr>
              <w:autoSpaceDE w:val="0"/>
              <w:autoSpaceDN w:val="0"/>
              <w:adjustRightInd w:val="0"/>
              <w:spacing w:after="0" w:line="240" w:lineRule="auto"/>
              <w:jc w:val="center"/>
              <w:rPr>
                <w:rFonts w:cs="Calibri"/>
                <w:bCs/>
                <w:color w:val="000000"/>
                <w:sz w:val="20"/>
                <w:szCs w:val="20"/>
              </w:rPr>
            </w:pPr>
          </w:p>
          <w:p w:rsidR="00656D9B" w:rsidRPr="00873CB9" w:rsidRDefault="00656D9B" w:rsidP="00DC5EB7">
            <w:pPr>
              <w:autoSpaceDE w:val="0"/>
              <w:autoSpaceDN w:val="0"/>
              <w:adjustRightInd w:val="0"/>
              <w:spacing w:after="0" w:line="240" w:lineRule="auto"/>
              <w:jc w:val="center"/>
              <w:rPr>
                <w:rFonts w:cs="Calibri"/>
                <w:b/>
                <w:bCs/>
                <w:color w:val="000000"/>
                <w:sz w:val="20"/>
                <w:szCs w:val="20"/>
              </w:rPr>
            </w:pPr>
            <w:r w:rsidRPr="00873CB9">
              <w:rPr>
                <w:rFonts w:cs="Calibri"/>
                <w:b/>
                <w:bCs/>
                <w:color w:val="000000"/>
                <w:sz w:val="20"/>
                <w:szCs w:val="20"/>
              </w:rPr>
              <w:t>Art 5</w:t>
            </w:r>
          </w:p>
          <w:p w:rsidR="00656D9B" w:rsidRPr="00873CB9" w:rsidRDefault="00656D9B" w:rsidP="00DC5EB7">
            <w:pPr>
              <w:autoSpaceDE w:val="0"/>
              <w:autoSpaceDN w:val="0"/>
              <w:adjustRightInd w:val="0"/>
              <w:spacing w:after="0" w:line="240" w:lineRule="auto"/>
              <w:jc w:val="center"/>
              <w:rPr>
                <w:rFonts w:cs="Calibri"/>
                <w:b/>
                <w:bCs/>
                <w:color w:val="000000"/>
                <w:sz w:val="20"/>
                <w:szCs w:val="20"/>
              </w:rPr>
            </w:pPr>
            <w:r w:rsidRPr="00873CB9">
              <w:rPr>
                <w:rFonts w:cs="Calibri"/>
                <w:b/>
                <w:bCs/>
                <w:color w:val="000000"/>
                <w:sz w:val="20"/>
                <w:szCs w:val="20"/>
              </w:rPr>
              <w:t>Gouvernance des entreprises</w:t>
            </w:r>
          </w:p>
          <w:p w:rsidR="00656D9B" w:rsidRPr="00873CB9" w:rsidRDefault="00656D9B" w:rsidP="00DC5EB7">
            <w:pPr>
              <w:autoSpaceDE w:val="0"/>
              <w:autoSpaceDN w:val="0"/>
              <w:adjustRightInd w:val="0"/>
              <w:spacing w:after="0" w:line="240" w:lineRule="auto"/>
              <w:rPr>
                <w:rFonts w:cs="Calibri"/>
                <w:bCs/>
                <w:color w:val="000000"/>
                <w:sz w:val="20"/>
                <w:szCs w:val="20"/>
              </w:rPr>
            </w:pPr>
          </w:p>
          <w:p w:rsidR="00656D9B" w:rsidRPr="00873CB9" w:rsidRDefault="00656D9B" w:rsidP="00DC5EB7">
            <w:pPr>
              <w:autoSpaceDE w:val="0"/>
              <w:autoSpaceDN w:val="0"/>
              <w:adjustRightInd w:val="0"/>
              <w:spacing w:after="0" w:line="240" w:lineRule="auto"/>
              <w:jc w:val="center"/>
              <w:rPr>
                <w:rFonts w:cs="Calibri"/>
                <w:bCs/>
                <w:color w:val="000000"/>
                <w:sz w:val="20"/>
                <w:szCs w:val="20"/>
              </w:rPr>
            </w:pPr>
            <w:r w:rsidRPr="00873CB9">
              <w:rPr>
                <w:rFonts w:cs="Calibri"/>
                <w:bCs/>
                <w:color w:val="000000"/>
                <w:sz w:val="20"/>
                <w:szCs w:val="20"/>
              </w:rPr>
              <w:t>Page 2</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4902C8">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lastRenderedPageBreak/>
              <w:t>Sept pages sur les 42</w:t>
            </w:r>
            <w:r>
              <w:rPr>
                <w:rFonts w:cs="Calibri"/>
                <w:color w:val="000000"/>
                <w:sz w:val="20"/>
                <w:szCs w:val="20"/>
              </w:rPr>
              <w:t xml:space="preserve"> du projet de loi sont consacrées</w:t>
            </w:r>
            <w:r w:rsidRPr="00327ACF">
              <w:rPr>
                <w:rFonts w:cs="Calibri"/>
                <w:color w:val="000000"/>
                <w:sz w:val="20"/>
                <w:szCs w:val="20"/>
              </w:rPr>
              <w:t xml:space="preserve"> à la faculté d’envoyer un ou deux salariés en tant qu’administrateurs représentants les salariés dans les sociétés avec conseil d’administration, conseil de surveillance, ou les sociétés en commandite. </w:t>
            </w:r>
          </w:p>
          <w:p w:rsidR="00656D9B" w:rsidRPr="00327ACF" w:rsidRDefault="00656D9B" w:rsidP="004902C8">
            <w:pPr>
              <w:autoSpaceDE w:val="0"/>
              <w:autoSpaceDN w:val="0"/>
              <w:adjustRightInd w:val="0"/>
              <w:spacing w:after="0" w:line="240" w:lineRule="auto"/>
              <w:jc w:val="both"/>
              <w:rPr>
                <w:rFonts w:cs="Calibri"/>
                <w:color w:val="000000"/>
                <w:sz w:val="20"/>
                <w:szCs w:val="20"/>
              </w:rPr>
            </w:pPr>
          </w:p>
          <w:p w:rsidR="00656D9B" w:rsidRPr="00327ACF" w:rsidRDefault="00656D9B" w:rsidP="004902C8">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Pour autant, une dérogation à l’obligation est immédiatement instituée au profit des filiales d’une société déjà soumises à l’obligation. </w:t>
            </w:r>
          </w:p>
          <w:p w:rsidR="00656D9B" w:rsidRPr="00327ACF" w:rsidRDefault="00656D9B" w:rsidP="004902C8">
            <w:pPr>
              <w:autoSpaceDE w:val="0"/>
              <w:autoSpaceDN w:val="0"/>
              <w:adjustRightInd w:val="0"/>
              <w:spacing w:after="0" w:line="240" w:lineRule="auto"/>
              <w:jc w:val="both"/>
              <w:rPr>
                <w:rFonts w:cs="Calibri"/>
                <w:color w:val="000000"/>
                <w:sz w:val="20"/>
                <w:szCs w:val="20"/>
              </w:rPr>
            </w:pPr>
          </w:p>
          <w:p w:rsidR="00656D9B" w:rsidRPr="00327ACF" w:rsidRDefault="00656D9B" w:rsidP="005570D2">
            <w:pPr>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De plus, le dispositif demeure flou sur un certain nombre de points. </w:t>
            </w:r>
            <w:r w:rsidRPr="00327ACF">
              <w:rPr>
                <w:rFonts w:cs="Calibri"/>
                <w:b/>
                <w:color w:val="000000"/>
                <w:sz w:val="20"/>
                <w:szCs w:val="20"/>
              </w:rPr>
              <w:t>Ces représentants ne disposent d’aucune protection particulière et pas de moyens spécifiques pour exercer leur mission et pour en rendre compte aux salariés.</w:t>
            </w:r>
            <w:r>
              <w:rPr>
                <w:rFonts w:cs="Calibri"/>
                <w:b/>
                <w:color w:val="000000"/>
                <w:sz w:val="20"/>
                <w:szCs w:val="20"/>
              </w:rPr>
              <w:t xml:space="preserve"> </w:t>
            </w:r>
            <w:r w:rsidRPr="00327ACF">
              <w:rPr>
                <w:rFonts w:cs="Calibri"/>
                <w:color w:val="000000"/>
                <w:sz w:val="20"/>
                <w:szCs w:val="20"/>
              </w:rPr>
              <w:t xml:space="preserve">Le fait que les administrateurs ainsi désignés aient voix délibératives (droit de vote) entraîne la participation du syndicat à la gouvernance de l’entreprise mais sans véritable pouvoir.  </w:t>
            </w:r>
          </w:p>
          <w:p w:rsidR="00656D9B" w:rsidRPr="00327ACF" w:rsidRDefault="00656D9B" w:rsidP="005570D2">
            <w:pPr>
              <w:autoSpaceDE w:val="0"/>
              <w:autoSpaceDN w:val="0"/>
              <w:adjustRightInd w:val="0"/>
              <w:spacing w:after="0" w:line="240" w:lineRule="auto"/>
              <w:jc w:val="both"/>
              <w:rPr>
                <w:rFonts w:cs="Calibri"/>
                <w:color w:val="000000"/>
                <w:sz w:val="20"/>
                <w:szCs w:val="20"/>
              </w:rPr>
            </w:pPr>
          </w:p>
          <w:p w:rsidR="00656D9B" w:rsidRPr="00327ACF" w:rsidRDefault="00656D9B" w:rsidP="005570D2">
            <w:pPr>
              <w:autoSpaceDE w:val="0"/>
              <w:autoSpaceDN w:val="0"/>
              <w:adjustRightInd w:val="0"/>
              <w:spacing w:after="0" w:line="240" w:lineRule="auto"/>
              <w:jc w:val="both"/>
              <w:rPr>
                <w:rFonts w:cs="Calibri"/>
                <w:color w:val="000000"/>
                <w:sz w:val="20"/>
                <w:szCs w:val="20"/>
              </w:rPr>
            </w:pPr>
          </w:p>
          <w:p w:rsidR="00656D9B" w:rsidRPr="00211691" w:rsidRDefault="00656D9B" w:rsidP="00211691">
            <w:pPr>
              <w:pStyle w:val="Paragraphedeliste"/>
              <w:numPr>
                <w:ilvl w:val="0"/>
                <w:numId w:val="24"/>
              </w:numPr>
              <w:autoSpaceDE w:val="0"/>
              <w:autoSpaceDN w:val="0"/>
              <w:adjustRightInd w:val="0"/>
              <w:spacing w:after="0" w:line="240" w:lineRule="auto"/>
              <w:jc w:val="both"/>
              <w:rPr>
                <w:rFonts w:eastAsia="Arial Unicode MS" w:cs="Calibri"/>
                <w:sz w:val="20"/>
                <w:szCs w:val="20"/>
              </w:rPr>
            </w:pPr>
            <w:r w:rsidRPr="00211691">
              <w:rPr>
                <w:rFonts w:eastAsia="Arial Unicode MS" w:cs="Calibri"/>
                <w:sz w:val="20"/>
                <w:szCs w:val="20"/>
              </w:rPr>
              <w:t xml:space="preserve">Par ailleurs, le code du travail impose déjà une représentation du Comité d’entreprise auprès du conseil d’administration ou de surveillance ayant voix consultative et composée de 2 à 4 membres selon le nombre de collèges électoraux dans l’entreprise. </w:t>
            </w:r>
            <w:r w:rsidRPr="00211691">
              <w:rPr>
                <w:rFonts w:eastAsia="Arial Unicode MS" w:cs="Calibri"/>
                <w:b/>
                <w:sz w:val="20"/>
                <w:szCs w:val="20"/>
              </w:rPr>
              <w:t>FO considère qu’il serait nécessaire de garantir et de renforcer ce dispositif légal, notamment par la formalisation de règles de procédures</w:t>
            </w:r>
            <w:r w:rsidRPr="00211691">
              <w:rPr>
                <w:rFonts w:eastAsia="Arial Unicode MS" w:cs="Calibri"/>
                <w:sz w:val="20"/>
                <w:szCs w:val="20"/>
              </w:rPr>
              <w:t xml:space="preserve"> (modalités et délais de convocation, de transmission des information…), par l’assimilation à du temps de travail effectif du</w:t>
            </w:r>
            <w:r>
              <w:rPr>
                <w:rFonts w:eastAsia="Arial Unicode MS" w:cs="Calibri"/>
                <w:sz w:val="20"/>
                <w:szCs w:val="20"/>
              </w:rPr>
              <w:t xml:space="preserve"> temps passé aux réunions et à l</w:t>
            </w:r>
            <w:r w:rsidRPr="00211691">
              <w:rPr>
                <w:rFonts w:eastAsia="Arial Unicode MS" w:cs="Calibri"/>
                <w:sz w:val="20"/>
                <w:szCs w:val="20"/>
              </w:rPr>
              <w:t>a non imputation sur les crédits d’heures, ou encore par la nullité des délibérations des organes dirigeants intervenant en l’absence du convocation régulière représentants des salariés…</w:t>
            </w:r>
          </w:p>
          <w:p w:rsidR="00656D9B" w:rsidRPr="00327ACF" w:rsidRDefault="00656D9B" w:rsidP="005570D2">
            <w:pPr>
              <w:autoSpaceDE w:val="0"/>
              <w:autoSpaceDN w:val="0"/>
              <w:adjustRightInd w:val="0"/>
              <w:spacing w:after="0" w:line="240" w:lineRule="auto"/>
              <w:jc w:val="both"/>
              <w:rPr>
                <w:rFonts w:cs="Calibri"/>
                <w:color w:val="000000"/>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4902C8">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lastRenderedPageBreak/>
              <w:t xml:space="preserve">Le PL a instauré les règles de « désignation » </w:t>
            </w:r>
          </w:p>
          <w:p w:rsidR="00656D9B" w:rsidRPr="00327ACF" w:rsidRDefault="00656D9B" w:rsidP="004902C8">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4902C8">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L’exonération des filiales n’était pas prévue dans l’ANI.</w:t>
            </w:r>
          </w:p>
          <w:p w:rsidR="00656D9B" w:rsidRPr="00327ACF" w:rsidRDefault="00656D9B" w:rsidP="004902C8">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B23B87">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Le PL n’a pas repris l’incompatibilité avec les mandats  CE, CHSCT, DP et DS</w:t>
            </w:r>
          </w:p>
        </w:tc>
      </w:tr>
      <w:tr w:rsidR="00656D9B" w:rsidRPr="00327ACF" w:rsidTr="00E0775E">
        <w:trPr>
          <w:trHeight w:val="2080"/>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6</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Droits rechargeables</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32</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9A5DDC">
            <w:pPr>
              <w:spacing w:line="240" w:lineRule="auto"/>
              <w:jc w:val="both"/>
              <w:rPr>
                <w:rFonts w:cs="Calibri"/>
                <w:sz w:val="20"/>
                <w:szCs w:val="20"/>
              </w:rPr>
            </w:pPr>
            <w:r w:rsidRPr="00327ACF">
              <w:rPr>
                <w:rFonts w:cs="Calibri"/>
                <w:sz w:val="20"/>
                <w:szCs w:val="20"/>
              </w:rPr>
              <w:t>Deux rajouts dont la portée précise méritera d’être approfondie :</w:t>
            </w:r>
          </w:p>
          <w:p w:rsidR="00656D9B" w:rsidRPr="00327ACF" w:rsidRDefault="00656D9B" w:rsidP="005C02DB">
            <w:pPr>
              <w:pStyle w:val="Paragraphedeliste"/>
              <w:numPr>
                <w:ilvl w:val="0"/>
                <w:numId w:val="9"/>
              </w:numPr>
              <w:spacing w:line="240" w:lineRule="auto"/>
              <w:jc w:val="both"/>
              <w:rPr>
                <w:rFonts w:cs="Calibri"/>
                <w:i/>
                <w:sz w:val="20"/>
                <w:szCs w:val="20"/>
              </w:rPr>
            </w:pPr>
            <w:r w:rsidRPr="00327ACF">
              <w:rPr>
                <w:rFonts w:cs="Calibri"/>
                <w:i/>
                <w:sz w:val="20"/>
                <w:szCs w:val="20"/>
              </w:rPr>
              <w:t xml:space="preserve">droits non épuisés sont pris en compte </w:t>
            </w:r>
            <w:r w:rsidRPr="00327ACF">
              <w:rPr>
                <w:rFonts w:cs="Calibri"/>
                <w:b/>
                <w:i/>
                <w:sz w:val="20"/>
                <w:szCs w:val="20"/>
              </w:rPr>
              <w:t>en tout ou partie</w:t>
            </w:r>
            <w:r w:rsidRPr="00327ACF">
              <w:rPr>
                <w:rFonts w:cs="Calibri"/>
                <w:i/>
                <w:sz w:val="20"/>
                <w:szCs w:val="20"/>
              </w:rPr>
              <w:t xml:space="preserve">… </w:t>
            </w:r>
            <w:r w:rsidRPr="00327ACF">
              <w:rPr>
                <w:rFonts w:cs="Calibri"/>
                <w:sz w:val="20"/>
                <w:szCs w:val="20"/>
              </w:rPr>
              <w:t>lors de l’ouverture d’une nouvelle période d’indemnisation</w:t>
            </w:r>
          </w:p>
          <w:p w:rsidR="00656D9B" w:rsidRPr="00327ACF" w:rsidRDefault="00656D9B" w:rsidP="005C02DB">
            <w:pPr>
              <w:pStyle w:val="Paragraphedeliste"/>
              <w:numPr>
                <w:ilvl w:val="1"/>
                <w:numId w:val="9"/>
              </w:numPr>
              <w:spacing w:line="240" w:lineRule="auto"/>
              <w:jc w:val="both"/>
              <w:rPr>
                <w:rFonts w:cs="Calibri"/>
                <w:sz w:val="20"/>
                <w:szCs w:val="20"/>
              </w:rPr>
            </w:pPr>
            <w:r w:rsidRPr="00327ACF">
              <w:rPr>
                <w:rFonts w:cs="Calibri"/>
                <w:sz w:val="20"/>
                <w:szCs w:val="20"/>
              </w:rPr>
              <w:t xml:space="preserve">cela semble laisser la porte ouverte à droits pas entièrement rechargeables. </w:t>
            </w:r>
          </w:p>
          <w:p w:rsidR="00656D9B" w:rsidRPr="00327ACF" w:rsidRDefault="00656D9B" w:rsidP="005C02DB">
            <w:pPr>
              <w:pStyle w:val="Paragraphedeliste"/>
              <w:numPr>
                <w:ilvl w:val="0"/>
                <w:numId w:val="9"/>
              </w:numPr>
              <w:spacing w:line="240" w:lineRule="auto"/>
              <w:jc w:val="both"/>
              <w:rPr>
                <w:rFonts w:cs="Calibri"/>
                <w:i/>
                <w:sz w:val="20"/>
                <w:szCs w:val="20"/>
              </w:rPr>
            </w:pPr>
            <w:r w:rsidRPr="00327ACF">
              <w:rPr>
                <w:rFonts w:cs="Calibri"/>
                <w:i/>
                <w:sz w:val="20"/>
                <w:szCs w:val="20"/>
              </w:rPr>
              <w:t xml:space="preserve">.. dans le calcul </w:t>
            </w:r>
            <w:r w:rsidRPr="00327ACF">
              <w:rPr>
                <w:rFonts w:cs="Calibri"/>
                <w:b/>
                <w:i/>
                <w:sz w:val="20"/>
                <w:szCs w:val="20"/>
              </w:rPr>
              <w:t>de la durée et du montant</w:t>
            </w:r>
            <w:r w:rsidRPr="00327ACF">
              <w:rPr>
                <w:rFonts w:cs="Calibri"/>
                <w:i/>
                <w:sz w:val="20"/>
                <w:szCs w:val="20"/>
              </w:rPr>
              <w:t xml:space="preserve"> des droits</w:t>
            </w:r>
          </w:p>
          <w:p w:rsidR="00656D9B" w:rsidRPr="00327ACF" w:rsidRDefault="00656D9B" w:rsidP="00D87F10">
            <w:pPr>
              <w:autoSpaceDE w:val="0"/>
              <w:autoSpaceDN w:val="0"/>
              <w:adjustRightInd w:val="0"/>
              <w:spacing w:after="0" w:line="240" w:lineRule="auto"/>
              <w:rPr>
                <w:rFonts w:cs="Calibri"/>
                <w:b/>
                <w:color w:val="000000"/>
                <w:sz w:val="20"/>
                <w:szCs w:val="20"/>
              </w:rPr>
            </w:pPr>
            <w:r w:rsidRPr="00327ACF">
              <w:rPr>
                <w:rFonts w:cs="Calibri"/>
                <w:b/>
                <w:color w:val="000000"/>
                <w:sz w:val="20"/>
                <w:szCs w:val="20"/>
              </w:rPr>
              <w:t xml:space="preserve">Une interrogation : le système de reprise de droits ou de réadmission des droits sera-t-il encore possible ? </w:t>
            </w:r>
          </w:p>
        </w:tc>
        <w:tc>
          <w:tcPr>
            <w:tcW w:w="977" w:type="pct"/>
            <w:tcBorders>
              <w:top w:val="single" w:sz="6" w:space="0" w:color="auto"/>
              <w:left w:val="single" w:sz="4" w:space="0" w:color="auto"/>
              <w:bottom w:val="single" w:sz="6" w:space="0" w:color="auto"/>
            </w:tcBorders>
          </w:tcPr>
          <w:p w:rsidR="00656D9B" w:rsidRPr="00327ACF" w:rsidRDefault="00656D9B" w:rsidP="00F25FB5">
            <w:pPr>
              <w:spacing w:line="240" w:lineRule="auto"/>
              <w:jc w:val="both"/>
              <w:rPr>
                <w:rFonts w:eastAsia="Arial Unicode MS" w:cs="Calibri"/>
                <w:sz w:val="20"/>
                <w:szCs w:val="20"/>
              </w:rPr>
            </w:pPr>
            <w:r w:rsidRPr="00327ACF">
              <w:rPr>
                <w:rFonts w:eastAsia="Arial Unicode MS" w:cs="Calibri"/>
                <w:sz w:val="20"/>
                <w:szCs w:val="20"/>
              </w:rPr>
              <w:t xml:space="preserve">Aucun délai et aucun caractère impératif : uniquement une habilitation légale à faire dans le cadre de la convention d’assurance chômage pour un dispositif existait déjà dans la convention d’assurance chômage ! </w:t>
            </w:r>
          </w:p>
        </w:tc>
      </w:tr>
      <w:tr w:rsidR="00656D9B" w:rsidRPr="00327ACF" w:rsidTr="00E0775E">
        <w:trPr>
          <w:trHeight w:val="2080"/>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DC5EB7">
            <w:pPr>
              <w:autoSpaceDE w:val="0"/>
              <w:autoSpaceDN w:val="0"/>
              <w:adjustRightInd w:val="0"/>
              <w:spacing w:after="0" w:line="240" w:lineRule="auto"/>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7</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Majoration contrats courts</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32</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9A5DDC">
            <w:pPr>
              <w:autoSpaceDE w:val="0"/>
              <w:autoSpaceDN w:val="0"/>
              <w:adjustRightInd w:val="0"/>
              <w:spacing w:after="0" w:line="240" w:lineRule="auto"/>
              <w:jc w:val="both"/>
              <w:rPr>
                <w:rFonts w:cs="Calibri"/>
                <w:sz w:val="20"/>
                <w:szCs w:val="20"/>
              </w:rPr>
            </w:pPr>
            <w:r w:rsidRPr="00327ACF">
              <w:rPr>
                <w:rFonts w:cs="Calibri"/>
                <w:sz w:val="20"/>
                <w:szCs w:val="20"/>
              </w:rPr>
              <w:t>Les accords d’assurance chômage peuvent majorer ou minorer les taux en fonction de la nature du contrat, de sa durée, du motif de recours…</w:t>
            </w:r>
          </w:p>
          <w:p w:rsidR="00656D9B" w:rsidRPr="00327ACF" w:rsidRDefault="00656D9B" w:rsidP="009A5DDC">
            <w:pPr>
              <w:autoSpaceDE w:val="0"/>
              <w:autoSpaceDN w:val="0"/>
              <w:adjustRightInd w:val="0"/>
              <w:spacing w:after="0" w:line="240" w:lineRule="auto"/>
              <w:jc w:val="both"/>
              <w:rPr>
                <w:rFonts w:cs="Calibri"/>
                <w:sz w:val="20"/>
                <w:szCs w:val="20"/>
              </w:rPr>
            </w:pPr>
          </w:p>
          <w:p w:rsidR="00656D9B" w:rsidRPr="00327ACF" w:rsidRDefault="00656D9B" w:rsidP="00D04E52">
            <w:pPr>
              <w:autoSpaceDE w:val="0"/>
              <w:autoSpaceDN w:val="0"/>
              <w:adjustRightInd w:val="0"/>
              <w:spacing w:after="0" w:line="240" w:lineRule="auto"/>
              <w:jc w:val="both"/>
              <w:rPr>
                <w:rFonts w:cs="Calibri"/>
                <w:sz w:val="20"/>
                <w:szCs w:val="20"/>
              </w:rPr>
            </w:pPr>
            <w:r w:rsidRPr="00327ACF">
              <w:rPr>
                <w:rFonts w:cs="Calibri"/>
                <w:sz w:val="20"/>
                <w:szCs w:val="20"/>
              </w:rPr>
              <w:t xml:space="preserve">On peut </w:t>
            </w:r>
            <w:r w:rsidRPr="00327ACF">
              <w:rPr>
                <w:rFonts w:cs="Calibri"/>
                <w:b/>
                <w:sz w:val="20"/>
                <w:szCs w:val="20"/>
              </w:rPr>
              <w:t>s’interroger ici sur la constitutionnalité d’une telle intervention législative</w:t>
            </w:r>
            <w:r w:rsidRPr="00327ACF">
              <w:rPr>
                <w:rFonts w:cs="Calibri"/>
                <w:sz w:val="20"/>
                <w:szCs w:val="20"/>
              </w:rPr>
              <w:t xml:space="preserve">. : N’y a-t-il pas là une atteinte au principe d’égalité, combinée à la liberté d’entreprendre, qui se rapporte au libre choix des collaborateurs (Décision du 20 juillet 1988, n° 88-244 DC) et donc potentiellement, avec la liberté contractuelle, au choix du type de contrat de travail ? </w:t>
            </w:r>
          </w:p>
          <w:p w:rsidR="00656D9B" w:rsidRPr="00327ACF" w:rsidRDefault="00656D9B" w:rsidP="00D87F10">
            <w:pPr>
              <w:autoSpaceDE w:val="0"/>
              <w:autoSpaceDN w:val="0"/>
              <w:adjustRightInd w:val="0"/>
              <w:spacing w:after="0" w:line="240" w:lineRule="auto"/>
              <w:jc w:val="both"/>
              <w:rPr>
                <w:rFonts w:cs="Calibri"/>
                <w:sz w:val="20"/>
                <w:szCs w:val="20"/>
              </w:rPr>
            </w:pPr>
          </w:p>
          <w:p w:rsidR="00656D9B" w:rsidRPr="00327ACF" w:rsidRDefault="00656D9B" w:rsidP="00D87F10">
            <w:pPr>
              <w:autoSpaceDE w:val="0"/>
              <w:autoSpaceDN w:val="0"/>
              <w:adjustRightInd w:val="0"/>
              <w:spacing w:after="0" w:line="240" w:lineRule="auto"/>
              <w:jc w:val="both"/>
              <w:rPr>
                <w:rFonts w:cs="Calibri"/>
                <w:sz w:val="20"/>
                <w:szCs w:val="20"/>
              </w:rPr>
            </w:pPr>
            <w:r w:rsidRPr="00327ACF">
              <w:rPr>
                <w:rFonts w:cs="Calibri"/>
                <w:sz w:val="20"/>
                <w:szCs w:val="20"/>
              </w:rPr>
              <w:t xml:space="preserve">En effet, les employeurs embauchant un salarié par un CDD non soumis au dispositif ou un CDD dépassant à la durée minimale n’auraient pas de </w:t>
            </w:r>
            <w:proofErr w:type="spellStart"/>
            <w:r w:rsidRPr="00327ACF">
              <w:rPr>
                <w:rFonts w:cs="Calibri"/>
                <w:sz w:val="20"/>
                <w:szCs w:val="20"/>
              </w:rPr>
              <w:t>surcontribution</w:t>
            </w:r>
            <w:proofErr w:type="spellEnd"/>
            <w:r w:rsidRPr="00327ACF">
              <w:rPr>
                <w:rFonts w:cs="Calibri"/>
                <w:sz w:val="20"/>
                <w:szCs w:val="20"/>
              </w:rPr>
              <w:t xml:space="preserve"> à payer tandis que les employeurs qui recourent, même régulièrement, à un autre CDD, alors que la conclusion de ces contrats est encadrée par la loi (CDD d’usage), devraient verser cette </w:t>
            </w:r>
            <w:proofErr w:type="spellStart"/>
            <w:r w:rsidRPr="00327ACF">
              <w:rPr>
                <w:rFonts w:cs="Calibri"/>
                <w:sz w:val="20"/>
                <w:szCs w:val="20"/>
              </w:rPr>
              <w:t>surcontribution</w:t>
            </w:r>
            <w:proofErr w:type="spellEnd"/>
            <w:r w:rsidRPr="00327ACF">
              <w:rPr>
                <w:rFonts w:cs="Calibri"/>
                <w:sz w:val="20"/>
                <w:szCs w:val="20"/>
              </w:rPr>
              <w:t xml:space="preserve">. </w:t>
            </w:r>
          </w:p>
          <w:p w:rsidR="00656D9B" w:rsidRPr="00327ACF" w:rsidRDefault="00656D9B" w:rsidP="00D87F10">
            <w:pPr>
              <w:autoSpaceDE w:val="0"/>
              <w:autoSpaceDN w:val="0"/>
              <w:adjustRightInd w:val="0"/>
              <w:spacing w:after="0" w:line="240" w:lineRule="auto"/>
              <w:jc w:val="both"/>
              <w:rPr>
                <w:rFonts w:cs="Calibri"/>
                <w:sz w:val="20"/>
                <w:szCs w:val="20"/>
              </w:rPr>
            </w:pPr>
          </w:p>
          <w:p w:rsidR="00656D9B" w:rsidRPr="00327ACF" w:rsidRDefault="00656D9B" w:rsidP="00D87F10">
            <w:pPr>
              <w:autoSpaceDE w:val="0"/>
              <w:autoSpaceDN w:val="0"/>
              <w:adjustRightInd w:val="0"/>
              <w:spacing w:after="0" w:line="240" w:lineRule="auto"/>
              <w:jc w:val="both"/>
              <w:rPr>
                <w:rFonts w:cs="Calibri"/>
                <w:sz w:val="20"/>
                <w:szCs w:val="20"/>
              </w:rPr>
            </w:pPr>
            <w:r w:rsidRPr="00327ACF">
              <w:rPr>
                <w:rFonts w:cs="Calibri"/>
                <w:sz w:val="20"/>
                <w:szCs w:val="20"/>
              </w:rPr>
              <w:t xml:space="preserve">Ainsi, si la loi a pour objectif de renforcer la primauté du CDI sur le CDD, </w:t>
            </w:r>
            <w:r w:rsidRPr="00327ACF">
              <w:rPr>
                <w:rFonts w:cs="Calibri"/>
                <w:b/>
                <w:sz w:val="20"/>
                <w:szCs w:val="20"/>
              </w:rPr>
              <w:t xml:space="preserve">pourquoi écarter certains cas de recours de la </w:t>
            </w:r>
            <w:proofErr w:type="spellStart"/>
            <w:r w:rsidRPr="00327ACF">
              <w:rPr>
                <w:rFonts w:cs="Calibri"/>
                <w:b/>
                <w:sz w:val="20"/>
                <w:szCs w:val="20"/>
              </w:rPr>
              <w:t>surtaxation</w:t>
            </w:r>
            <w:proofErr w:type="spellEnd"/>
            <w:r w:rsidRPr="00327ACF">
              <w:rPr>
                <w:rFonts w:cs="Calibri"/>
                <w:sz w:val="20"/>
                <w:szCs w:val="20"/>
              </w:rPr>
              <w:t xml:space="preserve"> ? La différence est difficilement justifiable et il y aurait là un grief sérieux de non-conformité à la Constitution. </w:t>
            </w:r>
          </w:p>
          <w:p w:rsidR="00656D9B" w:rsidRPr="00327ACF" w:rsidRDefault="00656D9B" w:rsidP="00D87F10">
            <w:pPr>
              <w:autoSpaceDE w:val="0"/>
              <w:autoSpaceDN w:val="0"/>
              <w:adjustRightInd w:val="0"/>
              <w:spacing w:after="0" w:line="240" w:lineRule="auto"/>
              <w:jc w:val="both"/>
              <w:rPr>
                <w:rFonts w:cs="Calibri"/>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9A5DDC">
            <w:pPr>
              <w:autoSpaceDE w:val="0"/>
              <w:autoSpaceDN w:val="0"/>
              <w:adjustRightInd w:val="0"/>
              <w:spacing w:after="0" w:line="240" w:lineRule="auto"/>
              <w:jc w:val="both"/>
              <w:rPr>
                <w:rFonts w:eastAsia="Arial Unicode MS" w:cs="Calibri"/>
                <w:sz w:val="20"/>
                <w:szCs w:val="20"/>
              </w:rPr>
            </w:pPr>
          </w:p>
          <w:p w:rsidR="00656D9B" w:rsidRPr="00327ACF" w:rsidRDefault="00656D9B" w:rsidP="009A5DDC">
            <w:pPr>
              <w:autoSpaceDE w:val="0"/>
              <w:autoSpaceDN w:val="0"/>
              <w:adjustRightInd w:val="0"/>
              <w:spacing w:after="0" w:line="240" w:lineRule="auto"/>
              <w:jc w:val="both"/>
              <w:rPr>
                <w:rFonts w:eastAsia="Arial Unicode MS" w:cs="Calibri"/>
                <w:sz w:val="20"/>
                <w:szCs w:val="20"/>
              </w:rPr>
            </w:pPr>
            <w:r w:rsidRPr="00327ACF">
              <w:rPr>
                <w:rFonts w:eastAsia="Arial Unicode MS" w:cs="Calibri"/>
                <w:sz w:val="20"/>
                <w:szCs w:val="20"/>
              </w:rPr>
              <w:t xml:space="preserve"> </w:t>
            </w:r>
          </w:p>
        </w:tc>
      </w:tr>
      <w:tr w:rsidR="00656D9B" w:rsidRPr="00327ACF" w:rsidTr="00E0775E">
        <w:trPr>
          <w:trHeight w:val="2080"/>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8</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Temps partiel</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32</w:t>
            </w: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DC5EB7">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8</w:t>
            </w:r>
          </w:p>
          <w:p w:rsidR="00656D9B" w:rsidRPr="00327ACF" w:rsidRDefault="00656D9B" w:rsidP="00D2397C">
            <w:pPr>
              <w:autoSpaceDE w:val="0"/>
              <w:autoSpaceDN w:val="0"/>
              <w:adjustRightInd w:val="0"/>
              <w:spacing w:after="0" w:line="240" w:lineRule="auto"/>
              <w:jc w:val="center"/>
              <w:rPr>
                <w:rFonts w:cs="Calibri"/>
                <w:b/>
                <w:bCs/>
                <w:color w:val="000000"/>
                <w:sz w:val="20"/>
                <w:szCs w:val="20"/>
              </w:rPr>
            </w:pPr>
          </w:p>
          <w:p w:rsidR="00656D9B" w:rsidRPr="00327ACF" w:rsidRDefault="00656D9B" w:rsidP="00D2397C">
            <w:pPr>
              <w:autoSpaceDE w:val="0"/>
              <w:autoSpaceDN w:val="0"/>
              <w:adjustRightInd w:val="0"/>
              <w:spacing w:after="0" w:line="240" w:lineRule="auto"/>
              <w:jc w:val="center"/>
              <w:rPr>
                <w:rFonts w:cs="Calibri"/>
                <w:bCs/>
                <w:color w:val="000000"/>
                <w:sz w:val="20"/>
                <w:szCs w:val="20"/>
              </w:rPr>
            </w:pPr>
            <w:r w:rsidRPr="00327ACF">
              <w:rPr>
                <w:rFonts w:cs="Calibri"/>
                <w:b/>
                <w:bCs/>
                <w:color w:val="000000"/>
                <w:sz w:val="20"/>
                <w:szCs w:val="20"/>
              </w:rPr>
              <w:t>Temps partiel</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A559C5">
            <w:pPr>
              <w:autoSpaceDE w:val="0"/>
              <w:autoSpaceDN w:val="0"/>
              <w:adjustRightInd w:val="0"/>
              <w:spacing w:after="0" w:line="240" w:lineRule="auto"/>
              <w:jc w:val="both"/>
              <w:rPr>
                <w:rFonts w:cs="Calibri"/>
                <w:b/>
                <w:color w:val="000000"/>
                <w:sz w:val="20"/>
                <w:szCs w:val="20"/>
              </w:rPr>
            </w:pPr>
            <w:r w:rsidRPr="00327ACF">
              <w:rPr>
                <w:rFonts w:cs="Calibri"/>
                <w:b/>
                <w:color w:val="000000"/>
                <w:sz w:val="20"/>
                <w:szCs w:val="20"/>
              </w:rPr>
              <w:lastRenderedPageBreak/>
              <w:t xml:space="preserve">La durée minimale de 24 heures : </w:t>
            </w:r>
          </w:p>
          <w:p w:rsidR="00656D9B" w:rsidRPr="00327ACF" w:rsidRDefault="00656D9B" w:rsidP="00A559C5">
            <w:pPr>
              <w:autoSpaceDE w:val="0"/>
              <w:autoSpaceDN w:val="0"/>
              <w:adjustRightInd w:val="0"/>
              <w:spacing w:after="0" w:line="240" w:lineRule="auto"/>
              <w:jc w:val="both"/>
              <w:rPr>
                <w:rFonts w:cs="Calibri"/>
                <w:b/>
                <w:color w:val="000000"/>
                <w:sz w:val="20"/>
                <w:szCs w:val="20"/>
              </w:rPr>
            </w:pPr>
          </w:p>
          <w:p w:rsidR="00656D9B" w:rsidRPr="00327ACF" w:rsidRDefault="00656D9B" w:rsidP="005C02DB">
            <w:pPr>
              <w:pStyle w:val="Paragraphedeliste"/>
              <w:numPr>
                <w:ilvl w:val="0"/>
                <w:numId w:val="10"/>
              </w:numPr>
              <w:autoSpaceDE w:val="0"/>
              <w:autoSpaceDN w:val="0"/>
              <w:adjustRightInd w:val="0"/>
              <w:spacing w:after="0" w:line="240" w:lineRule="auto"/>
              <w:ind w:left="700" w:hanging="283"/>
              <w:jc w:val="both"/>
              <w:rPr>
                <w:rFonts w:cs="Calibri"/>
                <w:color w:val="000000"/>
                <w:sz w:val="20"/>
                <w:szCs w:val="20"/>
              </w:rPr>
            </w:pPr>
            <w:r w:rsidRPr="00327ACF">
              <w:rPr>
                <w:rFonts w:cs="Calibri"/>
                <w:b/>
                <w:color w:val="000000"/>
                <w:sz w:val="20"/>
                <w:szCs w:val="20"/>
              </w:rPr>
              <w:t>Pourquoi, par principe, exclure les jeunes étudiants</w:t>
            </w:r>
            <w:r w:rsidRPr="00327ACF">
              <w:rPr>
                <w:rFonts w:cs="Calibri"/>
                <w:color w:val="000000"/>
                <w:sz w:val="20"/>
                <w:szCs w:val="20"/>
              </w:rPr>
              <w:t xml:space="preserve"> de la possibilité de bénéficier de la durée de 24 heures alors que l’instauration de cette règle a pour but de lutter contre la précarité et la pauvreté ? </w:t>
            </w:r>
          </w:p>
          <w:p w:rsidR="00656D9B" w:rsidRPr="00327ACF" w:rsidRDefault="00656D9B" w:rsidP="005C02DB">
            <w:pPr>
              <w:pStyle w:val="Paragraphedeliste"/>
              <w:numPr>
                <w:ilvl w:val="0"/>
                <w:numId w:val="13"/>
              </w:numPr>
              <w:tabs>
                <w:tab w:val="left" w:pos="4133"/>
              </w:tabs>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La possibilité ouverte à la </w:t>
            </w:r>
            <w:r w:rsidRPr="00327ACF">
              <w:rPr>
                <w:rFonts w:cs="Calibri"/>
                <w:b/>
                <w:color w:val="000000"/>
                <w:sz w:val="20"/>
                <w:szCs w:val="20"/>
              </w:rPr>
              <w:t>dérogation à la durée de 24 heures, à la demande écrite et motivée du salarié</w:t>
            </w:r>
            <w:r w:rsidRPr="00327ACF">
              <w:rPr>
                <w:rFonts w:cs="Calibri"/>
                <w:color w:val="000000"/>
                <w:sz w:val="20"/>
                <w:szCs w:val="20"/>
              </w:rPr>
              <w:t xml:space="preserve">, est une des failles qui rendra le dispositif inopérant, dans la mesure où les employeurs feront de ce courrier une condition de l’embauche ou de la poursuite du contrat. </w:t>
            </w:r>
          </w:p>
          <w:p w:rsidR="00656D9B" w:rsidRPr="00327ACF" w:rsidRDefault="00656D9B" w:rsidP="005C02DB">
            <w:pPr>
              <w:pStyle w:val="Paragraphedeliste"/>
              <w:numPr>
                <w:ilvl w:val="0"/>
                <w:numId w:val="13"/>
              </w:numPr>
              <w:tabs>
                <w:tab w:val="left" w:pos="4133"/>
              </w:tabs>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Par ailleurs il semble y avoir des difficultés d’articulation entre les différentes dérogations et la durée minimale qui en résultent.</w:t>
            </w:r>
          </w:p>
          <w:p w:rsidR="00656D9B" w:rsidRPr="00327ACF" w:rsidRDefault="00656D9B" w:rsidP="00211691">
            <w:pPr>
              <w:pStyle w:val="Paragraphedeliste"/>
              <w:numPr>
                <w:ilvl w:val="0"/>
                <w:numId w:val="13"/>
              </w:numPr>
              <w:tabs>
                <w:tab w:val="left" w:pos="4133"/>
              </w:tabs>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Concernant les contrats de travail en cours, on passe pour le salarié d’une présomption de vouloir rester à une durée inférieure à l’expression d’une demande expresse de vouloir passer à 24 heures, demande que l’employeur </w:t>
            </w:r>
            <w:proofErr w:type="gramStart"/>
            <w:r w:rsidRPr="00327ACF">
              <w:rPr>
                <w:rFonts w:cs="Calibri"/>
                <w:color w:val="000000"/>
                <w:sz w:val="20"/>
                <w:szCs w:val="20"/>
              </w:rPr>
              <w:t>peut</w:t>
            </w:r>
            <w:proofErr w:type="gramEnd"/>
            <w:r w:rsidRPr="00327ACF">
              <w:rPr>
                <w:rFonts w:cs="Calibri"/>
                <w:color w:val="000000"/>
                <w:sz w:val="20"/>
                <w:szCs w:val="20"/>
              </w:rPr>
              <w:t xml:space="preserve"> refuser. </w:t>
            </w:r>
          </w:p>
          <w:p w:rsidR="00656D9B" w:rsidRPr="00327ACF" w:rsidRDefault="00656D9B" w:rsidP="00211691">
            <w:pPr>
              <w:tabs>
                <w:tab w:val="left" w:pos="4133"/>
              </w:tabs>
              <w:autoSpaceDE w:val="0"/>
              <w:autoSpaceDN w:val="0"/>
              <w:adjustRightInd w:val="0"/>
              <w:spacing w:after="0" w:line="240" w:lineRule="auto"/>
              <w:ind w:left="360"/>
              <w:jc w:val="both"/>
              <w:rPr>
                <w:rFonts w:cs="Calibri"/>
                <w:b/>
                <w:color w:val="000000"/>
                <w:sz w:val="20"/>
                <w:szCs w:val="20"/>
              </w:rPr>
            </w:pPr>
            <w:r w:rsidRPr="00211691">
              <w:rPr>
                <w:rFonts w:ascii="Arial Unicode MS" w:eastAsia="Arial Unicode MS" w:hAnsi="Arial Unicode MS" w:cs="Arial Unicode MS" w:hint="eastAsia"/>
                <w:b/>
                <w:color w:val="000000"/>
                <w:sz w:val="20"/>
                <w:szCs w:val="20"/>
              </w:rPr>
              <w:t>⇒</w:t>
            </w:r>
            <w:r w:rsidRPr="00327ACF">
              <w:rPr>
                <w:rFonts w:cs="Calibri"/>
                <w:b/>
                <w:color w:val="000000"/>
                <w:sz w:val="20"/>
                <w:szCs w:val="20"/>
              </w:rPr>
              <w:t xml:space="preserve">La seule possibilité d’assurer l’effectivité de la loi est de faire de cette durée minimale une mesure d’ordre public social absolu. </w:t>
            </w:r>
          </w:p>
          <w:p w:rsidR="00656D9B" w:rsidRPr="00327ACF" w:rsidRDefault="00656D9B" w:rsidP="00CF790D">
            <w:pPr>
              <w:pStyle w:val="Paragraphedeliste"/>
              <w:tabs>
                <w:tab w:val="left" w:pos="4133"/>
              </w:tabs>
              <w:autoSpaceDE w:val="0"/>
              <w:autoSpaceDN w:val="0"/>
              <w:adjustRightInd w:val="0"/>
              <w:spacing w:after="0" w:line="240" w:lineRule="auto"/>
              <w:jc w:val="both"/>
              <w:rPr>
                <w:rFonts w:cs="Calibri"/>
                <w:color w:val="000000"/>
                <w:sz w:val="20"/>
                <w:szCs w:val="20"/>
              </w:rPr>
            </w:pPr>
          </w:p>
          <w:p w:rsidR="00656D9B" w:rsidRPr="00327ACF" w:rsidRDefault="00656D9B" w:rsidP="00617045">
            <w:pPr>
              <w:tabs>
                <w:tab w:val="left" w:pos="4133"/>
              </w:tabs>
              <w:autoSpaceDE w:val="0"/>
              <w:autoSpaceDN w:val="0"/>
              <w:adjustRightInd w:val="0"/>
              <w:spacing w:after="0" w:line="240" w:lineRule="auto"/>
              <w:jc w:val="both"/>
              <w:rPr>
                <w:rFonts w:cs="Calibri"/>
                <w:b/>
                <w:color w:val="000000"/>
                <w:sz w:val="20"/>
                <w:szCs w:val="20"/>
              </w:rPr>
            </w:pPr>
            <w:r w:rsidRPr="00327ACF">
              <w:rPr>
                <w:rFonts w:cs="Calibri"/>
                <w:b/>
                <w:color w:val="000000"/>
                <w:sz w:val="20"/>
                <w:szCs w:val="20"/>
              </w:rPr>
              <w:t xml:space="preserve">La majoration de 10% et le complément d’heures : </w:t>
            </w:r>
          </w:p>
          <w:p w:rsidR="00656D9B" w:rsidRPr="00327ACF" w:rsidRDefault="00656D9B" w:rsidP="00617045">
            <w:pPr>
              <w:tabs>
                <w:tab w:val="left" w:pos="4133"/>
              </w:tabs>
              <w:autoSpaceDE w:val="0"/>
              <w:autoSpaceDN w:val="0"/>
              <w:adjustRightInd w:val="0"/>
              <w:spacing w:after="0" w:line="240" w:lineRule="auto"/>
              <w:jc w:val="both"/>
              <w:rPr>
                <w:rFonts w:cs="Calibri"/>
                <w:b/>
                <w:color w:val="000000"/>
                <w:sz w:val="20"/>
                <w:szCs w:val="20"/>
              </w:rPr>
            </w:pPr>
          </w:p>
          <w:p w:rsidR="00656D9B" w:rsidRPr="00327ACF" w:rsidRDefault="00656D9B" w:rsidP="005C02DB">
            <w:pPr>
              <w:pStyle w:val="Paragraphedeliste"/>
              <w:numPr>
                <w:ilvl w:val="0"/>
                <w:numId w:val="14"/>
              </w:numPr>
              <w:tabs>
                <w:tab w:val="left" w:pos="4133"/>
              </w:tabs>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La proposition d’un nouvel alinéa de l’article L. 3123-19 consiste à remettre en cause la majoration à hauteur de 25% des heures accomplies au-delà du 10°, par un accord de branche, sans même que ce dernier n’ait obligation d’être étendu.</w:t>
            </w:r>
          </w:p>
          <w:p w:rsidR="00656D9B" w:rsidRPr="00327ACF" w:rsidRDefault="00656D9B" w:rsidP="005C02DB">
            <w:pPr>
              <w:pStyle w:val="Paragraphedeliste"/>
              <w:numPr>
                <w:ilvl w:val="0"/>
                <w:numId w:val="14"/>
              </w:numPr>
              <w:tabs>
                <w:tab w:val="left" w:pos="4133"/>
              </w:tabs>
              <w:autoSpaceDE w:val="0"/>
              <w:autoSpaceDN w:val="0"/>
              <w:adjustRightInd w:val="0"/>
              <w:spacing w:after="0" w:line="240" w:lineRule="auto"/>
              <w:jc w:val="both"/>
              <w:rPr>
                <w:rFonts w:cs="Calibri"/>
                <w:b/>
                <w:color w:val="000000"/>
                <w:sz w:val="20"/>
                <w:szCs w:val="20"/>
              </w:rPr>
            </w:pPr>
            <w:r w:rsidRPr="00327ACF">
              <w:rPr>
                <w:rFonts w:cs="Calibri"/>
                <w:b/>
                <w:color w:val="000000"/>
                <w:sz w:val="20"/>
                <w:szCs w:val="20"/>
              </w:rPr>
              <w:t>Les compléments d’heures par avenant :</w:t>
            </w:r>
            <w:r w:rsidRPr="00327ACF">
              <w:rPr>
                <w:rFonts w:cs="Calibri"/>
                <w:color w:val="000000"/>
                <w:sz w:val="20"/>
                <w:szCs w:val="20"/>
              </w:rPr>
              <w:t xml:space="preserve"> l’instauration de ce dispositif, déjà tenté, lors des débats relatifs à la loi </w:t>
            </w:r>
            <w:proofErr w:type="spellStart"/>
            <w:r w:rsidRPr="00327ACF">
              <w:rPr>
                <w:rFonts w:cs="Calibri"/>
                <w:color w:val="000000"/>
                <w:sz w:val="20"/>
                <w:szCs w:val="20"/>
              </w:rPr>
              <w:t>Warsman</w:t>
            </w:r>
            <w:proofErr w:type="spellEnd"/>
            <w:r w:rsidRPr="00327ACF">
              <w:rPr>
                <w:rFonts w:cs="Calibri"/>
                <w:color w:val="000000"/>
                <w:sz w:val="20"/>
                <w:szCs w:val="20"/>
              </w:rPr>
              <w:t xml:space="preserve"> sous la pression de certaines fédérations patronales</w:t>
            </w:r>
            <w:r>
              <w:rPr>
                <w:rFonts w:cs="Calibri"/>
                <w:color w:val="000000"/>
                <w:sz w:val="20"/>
                <w:szCs w:val="20"/>
              </w:rPr>
              <w:t>, notamment dans le nettoyage où</w:t>
            </w:r>
            <w:r w:rsidRPr="00327ACF">
              <w:rPr>
                <w:rFonts w:cs="Calibri"/>
                <w:color w:val="000000"/>
                <w:sz w:val="20"/>
                <w:szCs w:val="20"/>
              </w:rPr>
              <w:t xml:space="preserve"> 75% des salariés sont à temps partiel.  </w:t>
            </w:r>
          </w:p>
          <w:p w:rsidR="00656D9B" w:rsidRPr="00327ACF" w:rsidRDefault="00656D9B" w:rsidP="005C02DB">
            <w:pPr>
              <w:pStyle w:val="Paragraphedeliste"/>
              <w:numPr>
                <w:ilvl w:val="0"/>
                <w:numId w:val="14"/>
              </w:numPr>
              <w:tabs>
                <w:tab w:val="left" w:pos="4133"/>
              </w:tabs>
              <w:autoSpaceDE w:val="0"/>
              <w:autoSpaceDN w:val="0"/>
              <w:adjustRightInd w:val="0"/>
              <w:spacing w:after="0" w:line="240" w:lineRule="auto"/>
              <w:jc w:val="both"/>
              <w:rPr>
                <w:rFonts w:cs="Calibri"/>
                <w:b/>
                <w:color w:val="000000"/>
                <w:sz w:val="20"/>
                <w:szCs w:val="20"/>
              </w:rPr>
            </w:pPr>
            <w:r w:rsidRPr="00327ACF">
              <w:rPr>
                <w:rFonts w:cs="Calibri"/>
                <w:b/>
                <w:color w:val="000000"/>
                <w:sz w:val="20"/>
                <w:szCs w:val="20"/>
              </w:rPr>
              <w:t>Par ce dispositif de flexibilité extrême les employeurs font varier à leur guise et quasi indéfiniment la durée du travail des salariés, sans que ces derniers ne bénéficient du taux de majoration des heures décomptés à partir du contrat i</w:t>
            </w:r>
            <w:r>
              <w:rPr>
                <w:rFonts w:cs="Calibri"/>
                <w:b/>
                <w:color w:val="000000"/>
                <w:sz w:val="20"/>
                <w:szCs w:val="20"/>
              </w:rPr>
              <w:t>nitial</w:t>
            </w:r>
            <w:r w:rsidRPr="00327ACF">
              <w:rPr>
                <w:rFonts w:cs="Calibri"/>
                <w:b/>
                <w:color w:val="000000"/>
                <w:sz w:val="20"/>
                <w:szCs w:val="20"/>
              </w:rPr>
              <w:t>.</w:t>
            </w:r>
          </w:p>
          <w:p w:rsidR="00656D9B" w:rsidRPr="00327ACF" w:rsidRDefault="00656D9B" w:rsidP="0074352E">
            <w:pPr>
              <w:tabs>
                <w:tab w:val="left" w:pos="4133"/>
              </w:tabs>
              <w:autoSpaceDE w:val="0"/>
              <w:autoSpaceDN w:val="0"/>
              <w:adjustRightInd w:val="0"/>
              <w:spacing w:after="0" w:line="240" w:lineRule="auto"/>
              <w:jc w:val="both"/>
              <w:rPr>
                <w:rFonts w:cs="Calibri"/>
                <w:b/>
                <w:color w:val="000000"/>
                <w:sz w:val="20"/>
                <w:szCs w:val="20"/>
              </w:rPr>
            </w:pPr>
          </w:p>
          <w:p w:rsidR="00656D9B" w:rsidRPr="00327ACF" w:rsidRDefault="00656D9B" w:rsidP="00CF790D">
            <w:pPr>
              <w:pStyle w:val="Paragraphedeliste"/>
              <w:numPr>
                <w:ilvl w:val="0"/>
                <w:numId w:val="14"/>
              </w:numPr>
              <w:tabs>
                <w:tab w:val="left" w:pos="4133"/>
              </w:tabs>
              <w:autoSpaceDE w:val="0"/>
              <w:autoSpaceDN w:val="0"/>
              <w:adjustRightInd w:val="0"/>
              <w:spacing w:after="0" w:line="240" w:lineRule="auto"/>
              <w:jc w:val="both"/>
              <w:rPr>
                <w:rFonts w:cs="Calibri"/>
                <w:color w:val="000000"/>
                <w:sz w:val="20"/>
                <w:szCs w:val="20"/>
              </w:rPr>
            </w:pPr>
            <w:r w:rsidRPr="00327ACF">
              <w:rPr>
                <w:rFonts w:cs="Calibri"/>
                <w:b/>
                <w:color w:val="000000"/>
                <w:sz w:val="20"/>
                <w:szCs w:val="20"/>
              </w:rPr>
              <w:t>La dernière phrase de l’article 3123-25</w:t>
            </w:r>
            <w:r w:rsidRPr="00327ACF">
              <w:rPr>
                <w:rFonts w:cs="Calibri"/>
                <w:color w:val="000000"/>
                <w:sz w:val="20"/>
                <w:szCs w:val="20"/>
              </w:rPr>
              <w:t xml:space="preserve"> laisse à penser qu’il s’agit d’une contrainte pour les employeurs que la majoration des heures ne puisse être inférieure à 25 % alors que la réalité est que la majoration, certes à 25%, se déclenchera beaucoup plus tard, voire pas du tout</w:t>
            </w:r>
          </w:p>
          <w:p w:rsidR="00656D9B" w:rsidRPr="00327ACF" w:rsidRDefault="00656D9B" w:rsidP="00CF790D">
            <w:pPr>
              <w:pStyle w:val="Paragraphedeliste"/>
              <w:tabs>
                <w:tab w:val="left" w:pos="4133"/>
              </w:tabs>
              <w:autoSpaceDE w:val="0"/>
              <w:autoSpaceDN w:val="0"/>
              <w:adjustRightInd w:val="0"/>
              <w:spacing w:after="0" w:line="240" w:lineRule="auto"/>
              <w:jc w:val="center"/>
              <w:rPr>
                <w:rFonts w:cs="Calibri"/>
                <w:color w:val="000000"/>
              </w:rPr>
            </w:pPr>
          </w:p>
          <w:p w:rsidR="00656D9B" w:rsidRPr="00327ACF" w:rsidRDefault="00656D9B" w:rsidP="00CF790D">
            <w:pPr>
              <w:pStyle w:val="Paragraphedeliste"/>
              <w:tabs>
                <w:tab w:val="left" w:pos="4133"/>
              </w:tabs>
              <w:autoSpaceDE w:val="0"/>
              <w:autoSpaceDN w:val="0"/>
              <w:adjustRightInd w:val="0"/>
              <w:spacing w:after="0" w:line="240" w:lineRule="auto"/>
              <w:jc w:val="center"/>
              <w:rPr>
                <w:rFonts w:cs="Calibri"/>
                <w:color w:val="000000"/>
              </w:rPr>
            </w:pPr>
          </w:p>
          <w:p w:rsidR="00656D9B" w:rsidRPr="00327ACF" w:rsidRDefault="00656D9B" w:rsidP="00CF790D">
            <w:pPr>
              <w:pStyle w:val="Paragraphedeliste"/>
              <w:tabs>
                <w:tab w:val="left" w:pos="4133"/>
              </w:tabs>
              <w:autoSpaceDE w:val="0"/>
              <w:autoSpaceDN w:val="0"/>
              <w:adjustRightInd w:val="0"/>
              <w:spacing w:after="0" w:line="240" w:lineRule="auto"/>
              <w:jc w:val="center"/>
              <w:rPr>
                <w:rFonts w:cs="Calibri"/>
                <w:color w:val="000000"/>
              </w:rPr>
            </w:pPr>
          </w:p>
          <w:p w:rsidR="00656D9B" w:rsidRPr="00327ACF" w:rsidRDefault="00656D9B" w:rsidP="0074352E">
            <w:pPr>
              <w:pStyle w:val="Paragraphedeliste"/>
              <w:tabs>
                <w:tab w:val="left" w:pos="4133"/>
              </w:tabs>
              <w:autoSpaceDE w:val="0"/>
              <w:autoSpaceDN w:val="0"/>
              <w:adjustRightInd w:val="0"/>
              <w:spacing w:after="0" w:line="240" w:lineRule="auto"/>
              <w:rPr>
                <w:rFonts w:cs="Calibri"/>
                <w:color w:val="000000"/>
              </w:rPr>
            </w:pPr>
          </w:p>
          <w:p w:rsidR="00656D9B" w:rsidRPr="00327ACF" w:rsidRDefault="00656D9B" w:rsidP="0074352E">
            <w:pPr>
              <w:pStyle w:val="Paragraphedeliste"/>
              <w:tabs>
                <w:tab w:val="left" w:pos="4133"/>
              </w:tabs>
              <w:autoSpaceDE w:val="0"/>
              <w:autoSpaceDN w:val="0"/>
              <w:adjustRightInd w:val="0"/>
              <w:spacing w:after="0" w:line="240" w:lineRule="auto"/>
              <w:rPr>
                <w:rFonts w:cs="Calibri"/>
                <w:color w:val="000000"/>
              </w:rPr>
            </w:pPr>
          </w:p>
          <w:p w:rsidR="00656D9B" w:rsidRPr="00327ACF" w:rsidRDefault="00656D9B" w:rsidP="00CF790D">
            <w:pPr>
              <w:pStyle w:val="Paragraphedeliste"/>
              <w:tabs>
                <w:tab w:val="left" w:pos="4133"/>
              </w:tabs>
              <w:autoSpaceDE w:val="0"/>
              <w:autoSpaceDN w:val="0"/>
              <w:adjustRightInd w:val="0"/>
              <w:spacing w:after="0" w:line="240" w:lineRule="auto"/>
              <w:jc w:val="center"/>
              <w:rPr>
                <w:rFonts w:cs="Calibri"/>
                <w:b/>
                <w:color w:val="000000"/>
              </w:rPr>
            </w:pPr>
            <w:r w:rsidRPr="00327ACF">
              <w:rPr>
                <w:rFonts w:cs="Calibri"/>
                <w:b/>
                <w:color w:val="000000"/>
              </w:rPr>
              <w:lastRenderedPageBreak/>
              <w:t>Illustration de l’impact  « complément d’heures » sur la rémunération des salariés</w:t>
            </w:r>
          </w:p>
          <w:p w:rsidR="00656D9B" w:rsidRPr="00327ACF" w:rsidRDefault="00656D9B" w:rsidP="00CF790D">
            <w:pPr>
              <w:pStyle w:val="Paragraphedeliste"/>
              <w:tabs>
                <w:tab w:val="left" w:pos="4133"/>
              </w:tabs>
              <w:autoSpaceDE w:val="0"/>
              <w:autoSpaceDN w:val="0"/>
              <w:adjustRightInd w:val="0"/>
              <w:spacing w:after="0" w:line="240" w:lineRule="auto"/>
              <w:jc w:val="center"/>
              <w:rPr>
                <w:rFonts w:cs="Calibri"/>
                <w:b/>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8"/>
              <w:gridCol w:w="4647"/>
            </w:tblGrid>
            <w:tr w:rsidR="00656D9B" w:rsidRPr="00327ACF" w:rsidTr="00327ACF">
              <w:tc>
                <w:tcPr>
                  <w:tcW w:w="5823" w:type="dxa"/>
                  <w:tcBorders>
                    <w:top w:val="single" w:sz="4" w:space="0" w:color="auto"/>
                    <w:left w:val="single" w:sz="4" w:space="0" w:color="auto"/>
                    <w:bottom w:val="single" w:sz="4" w:space="0" w:color="auto"/>
                    <w:right w:val="single" w:sz="4" w:space="0" w:color="auto"/>
                  </w:tcBorders>
                </w:tcPr>
                <w:p w:rsidR="00656D9B" w:rsidRPr="00327ACF" w:rsidRDefault="00656D9B" w:rsidP="00327ACF">
                  <w:pPr>
                    <w:pStyle w:val="Paragraphedeliste"/>
                    <w:tabs>
                      <w:tab w:val="left" w:pos="4133"/>
                    </w:tabs>
                    <w:autoSpaceDE w:val="0"/>
                    <w:autoSpaceDN w:val="0"/>
                    <w:adjustRightInd w:val="0"/>
                    <w:spacing w:after="0" w:line="240" w:lineRule="auto"/>
                    <w:ind w:left="0"/>
                    <w:jc w:val="center"/>
                    <w:rPr>
                      <w:rFonts w:cs="Calibri"/>
                      <w:b/>
                      <w:color w:val="000000"/>
                    </w:rPr>
                  </w:pPr>
                  <w:r w:rsidRPr="00327ACF">
                    <w:rPr>
                      <w:rFonts w:cs="Calibri"/>
                      <w:b/>
                      <w:color w:val="000000"/>
                    </w:rPr>
                    <w:t>Sans le dispositif « complément d’heures »</w:t>
                  </w:r>
                </w:p>
              </w:tc>
              <w:tc>
                <w:tcPr>
                  <w:tcW w:w="5823" w:type="dxa"/>
                  <w:tcBorders>
                    <w:top w:val="single" w:sz="4" w:space="0" w:color="auto"/>
                    <w:left w:val="single" w:sz="4" w:space="0" w:color="auto"/>
                    <w:bottom w:val="single" w:sz="4" w:space="0" w:color="auto"/>
                    <w:right w:val="single" w:sz="4" w:space="0" w:color="auto"/>
                  </w:tcBorders>
                </w:tcPr>
                <w:p w:rsidR="00656D9B" w:rsidRPr="00327ACF" w:rsidRDefault="00656D9B" w:rsidP="00327ACF">
                  <w:pPr>
                    <w:pStyle w:val="Paragraphedeliste"/>
                    <w:tabs>
                      <w:tab w:val="left" w:pos="4133"/>
                    </w:tabs>
                    <w:autoSpaceDE w:val="0"/>
                    <w:autoSpaceDN w:val="0"/>
                    <w:adjustRightInd w:val="0"/>
                    <w:spacing w:after="0" w:line="240" w:lineRule="auto"/>
                    <w:ind w:left="0"/>
                    <w:jc w:val="center"/>
                    <w:rPr>
                      <w:rFonts w:cs="Calibri"/>
                      <w:b/>
                      <w:color w:val="000000"/>
                    </w:rPr>
                  </w:pPr>
                  <w:r w:rsidRPr="00327ACF">
                    <w:rPr>
                      <w:rFonts w:cs="Calibri"/>
                      <w:b/>
                      <w:color w:val="000000"/>
                    </w:rPr>
                    <w:t>Avec le dispositif « complément d’heures »</w:t>
                  </w:r>
                </w:p>
              </w:tc>
            </w:tr>
            <w:tr w:rsidR="00656D9B" w:rsidRPr="00327ACF" w:rsidTr="00327ACF">
              <w:tc>
                <w:tcPr>
                  <w:tcW w:w="5823" w:type="dxa"/>
                  <w:tcBorders>
                    <w:top w:val="single" w:sz="4" w:space="0" w:color="auto"/>
                    <w:left w:val="single" w:sz="4" w:space="0" w:color="auto"/>
                    <w:bottom w:val="single" w:sz="4" w:space="0" w:color="auto"/>
                    <w:right w:val="single" w:sz="4" w:space="0" w:color="auto"/>
                  </w:tcBorders>
                </w:tcPr>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r w:rsidRPr="00327ACF">
                    <w:rPr>
                      <w:rFonts w:cs="Calibri"/>
                      <w:color w:val="000000"/>
                    </w:rPr>
                    <w:t xml:space="preserve">Base contrat : 25 H </w:t>
                  </w:r>
                </w:p>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p>
              </w:tc>
              <w:tc>
                <w:tcPr>
                  <w:tcW w:w="5823" w:type="dxa"/>
                  <w:tcBorders>
                    <w:top w:val="single" w:sz="4" w:space="0" w:color="auto"/>
                    <w:left w:val="single" w:sz="4" w:space="0" w:color="auto"/>
                    <w:bottom w:val="single" w:sz="4" w:space="0" w:color="auto"/>
                    <w:right w:val="single" w:sz="4" w:space="0" w:color="auto"/>
                  </w:tcBorders>
                </w:tcPr>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r w:rsidRPr="00327ACF">
                    <w:rPr>
                      <w:rFonts w:cs="Calibri"/>
                      <w:color w:val="000000"/>
                    </w:rPr>
                    <w:t>Base contrat : 25 h</w:t>
                  </w:r>
                </w:p>
              </w:tc>
            </w:tr>
            <w:tr w:rsidR="00656D9B" w:rsidRPr="00327ACF" w:rsidTr="00327ACF">
              <w:tc>
                <w:tcPr>
                  <w:tcW w:w="5823" w:type="dxa"/>
                  <w:tcBorders>
                    <w:top w:val="single" w:sz="4" w:space="0" w:color="auto"/>
                    <w:left w:val="single" w:sz="4" w:space="0" w:color="auto"/>
                    <w:bottom w:val="single" w:sz="4" w:space="0" w:color="auto"/>
                    <w:right w:val="single" w:sz="4" w:space="0" w:color="auto"/>
                  </w:tcBorders>
                </w:tcPr>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r w:rsidRPr="00327ACF">
                    <w:rPr>
                      <w:rFonts w:cs="Calibri"/>
                      <w:color w:val="000000"/>
                    </w:rPr>
                    <w:t xml:space="preserve">Heures effectuées : 30 h </w:t>
                  </w:r>
                </w:p>
              </w:tc>
              <w:tc>
                <w:tcPr>
                  <w:tcW w:w="5823" w:type="dxa"/>
                  <w:tcBorders>
                    <w:top w:val="single" w:sz="4" w:space="0" w:color="auto"/>
                    <w:left w:val="single" w:sz="4" w:space="0" w:color="auto"/>
                    <w:bottom w:val="single" w:sz="4" w:space="0" w:color="auto"/>
                    <w:right w:val="single" w:sz="4" w:space="0" w:color="auto"/>
                  </w:tcBorders>
                </w:tcPr>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r w:rsidRPr="00327ACF">
                    <w:rPr>
                      <w:rFonts w:cs="Calibri"/>
                      <w:color w:val="000000"/>
                    </w:rPr>
                    <w:t xml:space="preserve">Avenant : 30 h </w:t>
                  </w:r>
                </w:p>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p>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r w:rsidRPr="00327ACF">
                    <w:rPr>
                      <w:rFonts w:cs="Calibri"/>
                      <w:color w:val="000000"/>
                    </w:rPr>
                    <w:t xml:space="preserve">Heures Effectuées : 30 h </w:t>
                  </w:r>
                </w:p>
              </w:tc>
            </w:tr>
            <w:tr w:rsidR="00656D9B" w:rsidRPr="00327ACF" w:rsidTr="00327ACF">
              <w:tc>
                <w:tcPr>
                  <w:tcW w:w="5823" w:type="dxa"/>
                  <w:tcBorders>
                    <w:top w:val="single" w:sz="4" w:space="0" w:color="auto"/>
                    <w:left w:val="single" w:sz="4" w:space="0" w:color="auto"/>
                    <w:bottom w:val="single" w:sz="4" w:space="0" w:color="auto"/>
                    <w:right w:val="single" w:sz="4" w:space="0" w:color="auto"/>
                  </w:tcBorders>
                </w:tcPr>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b/>
                      <w:color w:val="000000"/>
                    </w:rPr>
                  </w:pPr>
                  <w:r w:rsidRPr="00327ACF">
                    <w:rPr>
                      <w:rFonts w:cs="Calibri"/>
                      <w:b/>
                      <w:color w:val="000000"/>
                    </w:rPr>
                    <w:t xml:space="preserve">Rémunération  </w:t>
                  </w:r>
                </w:p>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r w:rsidRPr="00327ACF">
                    <w:rPr>
                      <w:rFonts w:cs="Calibri"/>
                      <w:color w:val="000000"/>
                    </w:rPr>
                    <w:t xml:space="preserve">25 h au salaire de base </w:t>
                  </w:r>
                </w:p>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r w:rsidRPr="00327ACF">
                    <w:rPr>
                      <w:rFonts w:cs="Calibri"/>
                      <w:color w:val="000000"/>
                    </w:rPr>
                    <w:t xml:space="preserve">+ 2.5 heures majorées de 10% </w:t>
                  </w:r>
                </w:p>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r w:rsidRPr="00327ACF">
                    <w:rPr>
                      <w:rFonts w:cs="Calibri"/>
                      <w:color w:val="000000"/>
                    </w:rPr>
                    <w:t xml:space="preserve">+ 2.5h.majorées de 25% </w:t>
                  </w:r>
                </w:p>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p>
              </w:tc>
              <w:tc>
                <w:tcPr>
                  <w:tcW w:w="5823" w:type="dxa"/>
                  <w:tcBorders>
                    <w:top w:val="single" w:sz="4" w:space="0" w:color="auto"/>
                    <w:left w:val="single" w:sz="4" w:space="0" w:color="auto"/>
                    <w:bottom w:val="single" w:sz="4" w:space="0" w:color="auto"/>
                    <w:right w:val="single" w:sz="4" w:space="0" w:color="auto"/>
                  </w:tcBorders>
                </w:tcPr>
                <w:p w:rsidR="00656D9B" w:rsidRPr="00327ACF" w:rsidRDefault="00656D9B" w:rsidP="00327ACF">
                  <w:pPr>
                    <w:pStyle w:val="Paragraphedeliste"/>
                    <w:tabs>
                      <w:tab w:val="left" w:pos="4133"/>
                    </w:tabs>
                    <w:autoSpaceDE w:val="0"/>
                    <w:autoSpaceDN w:val="0"/>
                    <w:adjustRightInd w:val="0"/>
                    <w:spacing w:after="0" w:line="240" w:lineRule="auto"/>
                    <w:ind w:left="0"/>
                    <w:jc w:val="center"/>
                    <w:rPr>
                      <w:rFonts w:cs="Calibri"/>
                      <w:color w:val="000000"/>
                    </w:rPr>
                  </w:pPr>
                  <w:r w:rsidRPr="00327ACF">
                    <w:rPr>
                      <w:rFonts w:cs="Calibri"/>
                      <w:b/>
                      <w:color w:val="000000"/>
                    </w:rPr>
                    <w:t>Rémunération </w:t>
                  </w:r>
                </w:p>
                <w:p w:rsidR="00656D9B" w:rsidRPr="00327ACF" w:rsidRDefault="00656D9B" w:rsidP="00327ACF">
                  <w:pPr>
                    <w:pStyle w:val="Paragraphedeliste"/>
                    <w:tabs>
                      <w:tab w:val="left" w:pos="4133"/>
                    </w:tabs>
                    <w:autoSpaceDE w:val="0"/>
                    <w:autoSpaceDN w:val="0"/>
                    <w:adjustRightInd w:val="0"/>
                    <w:spacing w:after="0" w:line="240" w:lineRule="auto"/>
                    <w:ind w:left="0"/>
                    <w:jc w:val="both"/>
                    <w:rPr>
                      <w:rFonts w:cs="Calibri"/>
                      <w:color w:val="000000"/>
                    </w:rPr>
                  </w:pPr>
                  <w:r w:rsidRPr="00327ACF">
                    <w:rPr>
                      <w:rFonts w:cs="Calibri"/>
                      <w:color w:val="000000"/>
                    </w:rPr>
                    <w:t>30 h au salaire de base</w:t>
                  </w:r>
                </w:p>
              </w:tc>
            </w:tr>
          </w:tbl>
          <w:p w:rsidR="00656D9B" w:rsidRPr="00327ACF" w:rsidRDefault="00656D9B" w:rsidP="0012108D">
            <w:pPr>
              <w:autoSpaceDE w:val="0"/>
              <w:autoSpaceDN w:val="0"/>
              <w:adjustRightInd w:val="0"/>
              <w:spacing w:after="0" w:line="240" w:lineRule="auto"/>
              <w:jc w:val="both"/>
              <w:rPr>
                <w:rFonts w:cs="Calibri"/>
                <w:b/>
                <w:color w:val="000000"/>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6E7F46">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Dérogation par accord à la majoration à 25 % des heures réalisées dans le contingent : pire que l’ANI</w:t>
            </w:r>
          </w:p>
        </w:tc>
      </w:tr>
      <w:tr w:rsidR="00656D9B" w:rsidRPr="00327ACF" w:rsidTr="00E0775E">
        <w:trPr>
          <w:trHeight w:val="1296"/>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DC5EB7">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lastRenderedPageBreak/>
              <w:t>Art 9</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roofErr w:type="spellStart"/>
            <w:r w:rsidRPr="00327ACF">
              <w:rPr>
                <w:rFonts w:cs="Calibri"/>
                <w:b/>
                <w:bCs/>
                <w:color w:val="000000"/>
                <w:sz w:val="20"/>
                <w:szCs w:val="20"/>
              </w:rPr>
              <w:t>Gpec</w:t>
            </w:r>
            <w:proofErr w:type="spellEnd"/>
            <w:r w:rsidRPr="00327ACF">
              <w:rPr>
                <w:rFonts w:cs="Calibri"/>
                <w:b/>
                <w:bCs/>
                <w:color w:val="000000"/>
                <w:sz w:val="20"/>
                <w:szCs w:val="20"/>
              </w:rPr>
              <w:t xml:space="preserve"> / plan de formation</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DC5EB7">
            <w:pPr>
              <w:autoSpaceDE w:val="0"/>
              <w:autoSpaceDN w:val="0"/>
              <w:adjustRightInd w:val="0"/>
              <w:spacing w:after="0" w:line="240" w:lineRule="auto"/>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35</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330EFE">
            <w:pPr>
              <w:autoSpaceDE w:val="0"/>
              <w:autoSpaceDN w:val="0"/>
              <w:adjustRightInd w:val="0"/>
              <w:spacing w:after="0" w:line="240" w:lineRule="auto"/>
              <w:jc w:val="both"/>
              <w:rPr>
                <w:rFonts w:cs="Calibri"/>
                <w:b/>
                <w:color w:val="000000"/>
                <w:sz w:val="20"/>
                <w:szCs w:val="20"/>
              </w:rPr>
            </w:pPr>
          </w:p>
          <w:p w:rsidR="00656D9B" w:rsidRPr="00327ACF" w:rsidRDefault="00656D9B" w:rsidP="00330EFE">
            <w:pPr>
              <w:autoSpaceDE w:val="0"/>
              <w:autoSpaceDN w:val="0"/>
              <w:adjustRightInd w:val="0"/>
              <w:spacing w:after="0" w:line="240" w:lineRule="auto"/>
              <w:jc w:val="both"/>
              <w:rPr>
                <w:rFonts w:cs="Calibri"/>
                <w:color w:val="000000"/>
                <w:sz w:val="20"/>
                <w:szCs w:val="20"/>
              </w:rPr>
            </w:pPr>
            <w:r w:rsidRPr="00327ACF">
              <w:rPr>
                <w:rFonts w:cs="Calibri"/>
                <w:b/>
                <w:color w:val="000000"/>
                <w:sz w:val="20"/>
                <w:szCs w:val="20"/>
              </w:rPr>
              <w:t>Modification du cadre de la négociation GPEC</w:t>
            </w:r>
            <w:r w:rsidRPr="00327ACF">
              <w:rPr>
                <w:rFonts w:cs="Calibri"/>
                <w:color w:val="000000"/>
                <w:sz w:val="20"/>
                <w:szCs w:val="20"/>
              </w:rPr>
              <w:t xml:space="preserve"> </w:t>
            </w:r>
          </w:p>
          <w:p w:rsidR="00656D9B" w:rsidRPr="00327ACF" w:rsidRDefault="00656D9B" w:rsidP="005C02DB">
            <w:pPr>
              <w:pStyle w:val="Paragraphedeliste"/>
              <w:numPr>
                <w:ilvl w:val="0"/>
                <w:numId w:val="15"/>
              </w:numPr>
              <w:autoSpaceDE w:val="0"/>
              <w:autoSpaceDN w:val="0"/>
              <w:adjustRightInd w:val="0"/>
              <w:spacing w:after="0" w:line="240" w:lineRule="auto"/>
              <w:jc w:val="both"/>
              <w:rPr>
                <w:rFonts w:cs="Calibri"/>
                <w:color w:val="000000"/>
                <w:sz w:val="20"/>
                <w:szCs w:val="20"/>
              </w:rPr>
            </w:pPr>
            <w:r w:rsidRPr="00327ACF">
              <w:rPr>
                <w:rFonts w:cs="Calibri"/>
                <w:b/>
                <w:color w:val="000000"/>
                <w:sz w:val="20"/>
                <w:szCs w:val="20"/>
              </w:rPr>
              <w:t>la suppression du 1° de l’art L.2242-15 : la négociation GPEC ne consistera plus dans un premier temps à négocier sur « les modalités d’information consultation » sur la stratégie de l’entreprise</w:t>
            </w:r>
            <w:r w:rsidRPr="00327ACF">
              <w:rPr>
                <w:rFonts w:cs="Calibri"/>
                <w:color w:val="000000"/>
                <w:sz w:val="20"/>
                <w:szCs w:val="20"/>
              </w:rPr>
              <w:t xml:space="preserve">. Ce sujet est figé par les nouvelles règles sur le comité d’entreprise. Perte d’autonomie et atteinte à la négociation collective. Les équipes syndicales ne pourront négocier des délais de consultations spécifiques ni des droits d’heures en plus ni les informations que l’employeur s’engage à donner. </w:t>
            </w:r>
          </w:p>
          <w:p w:rsidR="00656D9B" w:rsidRPr="00327ACF" w:rsidRDefault="00656D9B" w:rsidP="005C02DB">
            <w:pPr>
              <w:pStyle w:val="Paragraphedeliste"/>
              <w:numPr>
                <w:ilvl w:val="0"/>
                <w:numId w:val="15"/>
              </w:numPr>
              <w:autoSpaceDE w:val="0"/>
              <w:autoSpaceDN w:val="0"/>
              <w:adjustRightInd w:val="0"/>
              <w:spacing w:after="0" w:line="240" w:lineRule="auto"/>
              <w:jc w:val="both"/>
              <w:rPr>
                <w:rFonts w:cs="Calibri"/>
                <w:color w:val="000000"/>
                <w:sz w:val="20"/>
                <w:szCs w:val="20"/>
              </w:rPr>
            </w:pPr>
            <w:r w:rsidRPr="00327ACF">
              <w:rPr>
                <w:rFonts w:cs="Calibri"/>
                <w:b/>
                <w:color w:val="000000"/>
                <w:sz w:val="20"/>
                <w:szCs w:val="20"/>
              </w:rPr>
              <w:t>La consultation ne portera plus sur la stratégie mais sur le « fondement des orientations stratégiques ».</w:t>
            </w:r>
            <w:r w:rsidRPr="00327ACF">
              <w:rPr>
                <w:rFonts w:cs="Calibri"/>
                <w:color w:val="000000"/>
                <w:sz w:val="20"/>
                <w:szCs w:val="20"/>
              </w:rPr>
              <w:t xml:space="preserve"> Cette nouvelle rédaction va totalement bouleverser le type d’information à transmettre, la teneur des éléments et le degré de précisions des éléments qui seront fournis aux IRP.  </w:t>
            </w:r>
          </w:p>
          <w:p w:rsidR="00656D9B" w:rsidRPr="00327ACF" w:rsidRDefault="00656D9B" w:rsidP="005C02DB">
            <w:pPr>
              <w:pStyle w:val="Paragraphedeliste"/>
              <w:numPr>
                <w:ilvl w:val="0"/>
                <w:numId w:val="15"/>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 La négociation sur les grandes orientations de la formation professionnelle dans l’entreprise» : </w:t>
            </w:r>
          </w:p>
          <w:p w:rsidR="00656D9B" w:rsidRPr="00327ACF" w:rsidRDefault="00656D9B" w:rsidP="0074352E">
            <w:pPr>
              <w:pStyle w:val="Paragraphedeliste"/>
              <w:numPr>
                <w:ilvl w:val="1"/>
                <w:numId w:val="15"/>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Au risque de voir les accords GPEC se transformer en accord sur la formation professionnelle, il semble nécessaire de restreindre cette partie à la seule négociation du plan de formation. Les dispositifs de formation professionnelle à l’initiative du salarié n’ont pas à être mobilisés dans le cadre de la GPEC, s’agissant de domaines qui relèvent de la responsabilité de l’employeur. C’est en effet le plan de formation qui doit être mobilisé.</w:t>
            </w:r>
          </w:p>
          <w:p w:rsidR="00656D9B" w:rsidRPr="00327ACF" w:rsidRDefault="00656D9B" w:rsidP="00DE3A28">
            <w:pPr>
              <w:pStyle w:val="Paragraphedeliste"/>
              <w:autoSpaceDE w:val="0"/>
              <w:autoSpaceDN w:val="0"/>
              <w:adjustRightInd w:val="0"/>
              <w:spacing w:after="0" w:line="240" w:lineRule="auto"/>
              <w:ind w:left="1440"/>
              <w:jc w:val="both"/>
              <w:rPr>
                <w:rFonts w:cs="Calibri"/>
                <w:color w:val="000000"/>
                <w:sz w:val="20"/>
                <w:szCs w:val="20"/>
              </w:rPr>
            </w:pPr>
          </w:p>
          <w:p w:rsidR="00656D9B" w:rsidRPr="00327ACF" w:rsidRDefault="00656D9B" w:rsidP="00330EFE">
            <w:pPr>
              <w:autoSpaceDE w:val="0"/>
              <w:autoSpaceDN w:val="0"/>
              <w:adjustRightInd w:val="0"/>
              <w:spacing w:after="0" w:line="240" w:lineRule="auto"/>
              <w:jc w:val="both"/>
              <w:rPr>
                <w:rFonts w:cs="Calibri"/>
                <w:b/>
                <w:color w:val="000000"/>
                <w:sz w:val="20"/>
                <w:szCs w:val="20"/>
              </w:rPr>
            </w:pPr>
            <w:r w:rsidRPr="00327ACF">
              <w:rPr>
                <w:rFonts w:cs="Calibri"/>
                <w:b/>
                <w:color w:val="000000"/>
                <w:sz w:val="20"/>
                <w:szCs w:val="20"/>
              </w:rPr>
              <w:t xml:space="preserve">GPEC et entreprises sous-traitantes : </w:t>
            </w:r>
          </w:p>
          <w:p w:rsidR="00656D9B" w:rsidRPr="00327ACF" w:rsidRDefault="00656D9B" w:rsidP="00CF790D">
            <w:pPr>
              <w:pStyle w:val="Paragraphedeliste"/>
              <w:numPr>
                <w:ilvl w:val="0"/>
                <w:numId w:val="16"/>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Ce nouveau thème fait partie des sujets « facultatifs » dans le cadre d’une négociation GPEC et ne va pas jusqu’à envisager le bénéfice  pour les salariés d’entreprises sous-traitantes de dispositif mis en place dans l’entreprise donneuse d’ordre. </w:t>
            </w:r>
          </w:p>
        </w:tc>
        <w:tc>
          <w:tcPr>
            <w:tcW w:w="977" w:type="pct"/>
            <w:tcBorders>
              <w:top w:val="single" w:sz="6" w:space="0" w:color="auto"/>
              <w:left w:val="single" w:sz="4" w:space="0" w:color="auto"/>
              <w:bottom w:val="single" w:sz="6" w:space="0" w:color="auto"/>
            </w:tcBorders>
          </w:tcPr>
          <w:p w:rsidR="00656D9B" w:rsidRPr="00327ACF" w:rsidRDefault="00656D9B" w:rsidP="00330EFE">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211691">
            <w:pPr>
              <w:tabs>
                <w:tab w:val="left" w:pos="767"/>
              </w:tabs>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 xml:space="preserve">Le PL contient des dispositions sans rapport avec l’ANI. l’ANI n’a pas entendu modifier l’article L. 2242-15,   n’a pas parlé des « fondements des orientations stratégiques », et l’ANI a utilisé l’impératif pour les relations donneurs d’ordre et sous-traitants, </w:t>
            </w:r>
          </w:p>
          <w:p w:rsidR="00656D9B" w:rsidRPr="00327ACF" w:rsidRDefault="00656D9B" w:rsidP="0092331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92331D">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l’ANI a parlé des orientations du plan de formation et pas de la forma</w:t>
            </w:r>
            <w:r>
              <w:rPr>
                <w:rFonts w:eastAsia="Arial Unicode MS" w:cs="Calibri"/>
                <w:color w:val="000000"/>
                <w:sz w:val="20"/>
                <w:szCs w:val="20"/>
              </w:rPr>
              <w:t>tion professionnelle continue.</w:t>
            </w:r>
          </w:p>
        </w:tc>
      </w:tr>
      <w:tr w:rsidR="00656D9B" w:rsidRPr="00327ACF" w:rsidTr="002D37F7">
        <w:trPr>
          <w:trHeight w:val="3072"/>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2D37F7">
            <w:pPr>
              <w:autoSpaceDE w:val="0"/>
              <w:autoSpaceDN w:val="0"/>
              <w:adjustRightInd w:val="0"/>
              <w:spacing w:after="0" w:line="240" w:lineRule="auto"/>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10</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Mobilité interne</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36</w:t>
            </w: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2D37F7">
            <w:pPr>
              <w:autoSpaceDE w:val="0"/>
              <w:autoSpaceDN w:val="0"/>
              <w:adjustRightInd w:val="0"/>
              <w:spacing w:after="0" w:line="240" w:lineRule="auto"/>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2D37F7">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10</w:t>
            </w:r>
          </w:p>
          <w:p w:rsidR="00656D9B" w:rsidRPr="00327ACF" w:rsidRDefault="00656D9B" w:rsidP="006A62E0">
            <w:pPr>
              <w:autoSpaceDE w:val="0"/>
              <w:autoSpaceDN w:val="0"/>
              <w:adjustRightInd w:val="0"/>
              <w:spacing w:after="0" w:line="240" w:lineRule="auto"/>
              <w:jc w:val="center"/>
              <w:rPr>
                <w:rFonts w:cs="Calibri"/>
                <w:bCs/>
                <w:color w:val="000000"/>
                <w:sz w:val="20"/>
                <w:szCs w:val="20"/>
              </w:rPr>
            </w:pPr>
            <w:r w:rsidRPr="00327ACF">
              <w:rPr>
                <w:rFonts w:cs="Calibri"/>
                <w:b/>
                <w:bCs/>
                <w:color w:val="000000"/>
                <w:sz w:val="20"/>
                <w:szCs w:val="20"/>
              </w:rPr>
              <w:t>Mobilité interne</w:t>
            </w:r>
          </w:p>
          <w:p w:rsidR="00656D9B" w:rsidRPr="00327ACF" w:rsidRDefault="00656D9B" w:rsidP="006A62E0">
            <w:pPr>
              <w:autoSpaceDE w:val="0"/>
              <w:autoSpaceDN w:val="0"/>
              <w:adjustRightInd w:val="0"/>
              <w:spacing w:after="0" w:line="240" w:lineRule="auto"/>
              <w:jc w:val="center"/>
              <w:rPr>
                <w:rFonts w:cs="Calibri"/>
                <w:bCs/>
                <w:color w:val="000000"/>
                <w:sz w:val="20"/>
                <w:szCs w:val="20"/>
              </w:rPr>
            </w:pPr>
          </w:p>
          <w:p w:rsidR="00656D9B" w:rsidRPr="00327ACF" w:rsidRDefault="00656D9B" w:rsidP="006A62E0">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36</w:t>
            </w: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2D37F7">
            <w:pPr>
              <w:autoSpaceDE w:val="0"/>
              <w:autoSpaceDN w:val="0"/>
              <w:adjustRightInd w:val="0"/>
              <w:spacing w:after="0" w:line="240" w:lineRule="auto"/>
              <w:rPr>
                <w:rFonts w:cs="Calibri"/>
                <w:bCs/>
                <w:color w:val="000000"/>
                <w:sz w:val="20"/>
                <w:szCs w:val="20"/>
              </w:rPr>
            </w:pP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1A0ED2">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lastRenderedPageBreak/>
              <w:t xml:space="preserve">1/ S’agit-il d’une </w:t>
            </w:r>
            <w:r w:rsidRPr="00327ACF">
              <w:rPr>
                <w:rFonts w:cs="Calibri"/>
                <w:b/>
                <w:color w:val="000000"/>
                <w:sz w:val="20"/>
                <w:szCs w:val="20"/>
              </w:rPr>
              <w:t>nouvelle obligation triennale de négocier</w:t>
            </w:r>
            <w:r w:rsidRPr="00327ACF">
              <w:rPr>
                <w:rFonts w:cs="Calibri"/>
                <w:color w:val="000000"/>
                <w:sz w:val="20"/>
                <w:szCs w:val="20"/>
              </w:rPr>
              <w:t xml:space="preserve"> ? Pour toutes les entreprises indépendamment de leur taille ? </w:t>
            </w:r>
          </w:p>
          <w:p w:rsidR="00656D9B" w:rsidRPr="00327ACF" w:rsidRDefault="00656D9B" w:rsidP="001A0ED2">
            <w:pPr>
              <w:autoSpaceDE w:val="0"/>
              <w:autoSpaceDN w:val="0"/>
              <w:adjustRightInd w:val="0"/>
              <w:spacing w:after="0" w:line="240" w:lineRule="auto"/>
              <w:jc w:val="both"/>
              <w:rPr>
                <w:rFonts w:cs="Calibri"/>
                <w:color w:val="000000"/>
                <w:sz w:val="20"/>
                <w:szCs w:val="20"/>
              </w:rPr>
            </w:pPr>
          </w:p>
          <w:p w:rsidR="00656D9B" w:rsidRPr="00327ACF" w:rsidRDefault="00656D9B" w:rsidP="00D468AC">
            <w:pPr>
              <w:autoSpaceDE w:val="0"/>
              <w:autoSpaceDN w:val="0"/>
              <w:adjustRightInd w:val="0"/>
              <w:spacing w:after="0" w:line="240" w:lineRule="auto"/>
              <w:jc w:val="both"/>
              <w:rPr>
                <w:b/>
                <w:sz w:val="20"/>
                <w:szCs w:val="20"/>
              </w:rPr>
            </w:pPr>
            <w:r w:rsidRPr="00327ACF">
              <w:rPr>
                <w:rFonts w:cs="Calibri"/>
                <w:color w:val="000000"/>
                <w:sz w:val="20"/>
                <w:szCs w:val="20"/>
              </w:rPr>
              <w:t xml:space="preserve">2/ </w:t>
            </w:r>
            <w:r w:rsidRPr="00327ACF">
              <w:rPr>
                <w:sz w:val="20"/>
                <w:szCs w:val="20"/>
              </w:rPr>
              <w:t xml:space="preserve">Les </w:t>
            </w:r>
            <w:r w:rsidRPr="00327ACF">
              <w:rPr>
                <w:b/>
                <w:sz w:val="20"/>
                <w:szCs w:val="20"/>
              </w:rPr>
              <w:t>différences entre salariés qui naîtront nécessairement du fait que les conditions de la mobilité sont négociées au sein de chaque entreprise,</w:t>
            </w:r>
            <w:r w:rsidRPr="00327ACF">
              <w:rPr>
                <w:sz w:val="20"/>
                <w:szCs w:val="20"/>
              </w:rPr>
              <w:t xml:space="preserve"> </w:t>
            </w:r>
            <w:r w:rsidRPr="00327ACF">
              <w:rPr>
                <w:b/>
                <w:sz w:val="20"/>
                <w:szCs w:val="20"/>
              </w:rPr>
              <w:t>ne sont donc justifiées par aucun motif d’intérêt général</w:t>
            </w:r>
            <w:r w:rsidRPr="00327ACF">
              <w:rPr>
                <w:sz w:val="20"/>
                <w:szCs w:val="20"/>
              </w:rPr>
              <w:t xml:space="preserve"> et, ne sont, de surcroît pas en rapport direct avec l’objet de la loi qui est notamment de sécuriser les emplois et les parcours professionnels. </w:t>
            </w:r>
            <w:r w:rsidRPr="00327ACF">
              <w:rPr>
                <w:b/>
                <w:sz w:val="20"/>
                <w:szCs w:val="20"/>
              </w:rPr>
              <w:t xml:space="preserve">Cet article nous parait dès lors contraire au principe d’égalité tel qu’il émane des  articles  1 et 6 de la Déclaration de 1789. </w:t>
            </w:r>
          </w:p>
          <w:p w:rsidR="00656D9B" w:rsidRPr="00327ACF" w:rsidRDefault="00656D9B" w:rsidP="00D468AC">
            <w:pPr>
              <w:autoSpaceDE w:val="0"/>
              <w:autoSpaceDN w:val="0"/>
              <w:adjustRightInd w:val="0"/>
              <w:spacing w:after="0" w:line="240" w:lineRule="auto"/>
              <w:jc w:val="both"/>
              <w:rPr>
                <w:rFonts w:cs="Calibri"/>
                <w:color w:val="000000"/>
                <w:sz w:val="20"/>
                <w:szCs w:val="20"/>
              </w:rPr>
            </w:pPr>
          </w:p>
          <w:p w:rsidR="00656D9B" w:rsidRPr="00327ACF" w:rsidRDefault="00656D9B" w:rsidP="001A0ED2">
            <w:pPr>
              <w:autoSpaceDE w:val="0"/>
              <w:autoSpaceDN w:val="0"/>
              <w:adjustRightInd w:val="0"/>
              <w:spacing w:after="0" w:line="240" w:lineRule="auto"/>
              <w:jc w:val="both"/>
              <w:rPr>
                <w:sz w:val="20"/>
                <w:szCs w:val="20"/>
              </w:rPr>
            </w:pPr>
            <w:r w:rsidRPr="00327ACF">
              <w:rPr>
                <w:sz w:val="20"/>
                <w:szCs w:val="20"/>
              </w:rPr>
              <w:t xml:space="preserve">Sur la base du texte, il ressort que les accords de mobilité professionnelle devront </w:t>
            </w:r>
            <w:r w:rsidRPr="00327ACF">
              <w:rPr>
                <w:b/>
                <w:sz w:val="20"/>
                <w:szCs w:val="20"/>
              </w:rPr>
              <w:t>comporter notamment « les mesures visant à permettre  la conciliation de la vie professionnelle et de la vie personnelle ».</w:t>
            </w:r>
            <w:r w:rsidRPr="00327ACF">
              <w:rPr>
                <w:i/>
                <w:sz w:val="20"/>
                <w:szCs w:val="20"/>
              </w:rPr>
              <w:t xml:space="preserve"> </w:t>
            </w:r>
            <w:r w:rsidRPr="00327ACF">
              <w:rPr>
                <w:sz w:val="20"/>
                <w:szCs w:val="20"/>
              </w:rPr>
              <w:t>Or, il n’appartient pas aux interlocuteurs sociaux dans le cadre d’un accord, mais au seul législateur en vertu de l’article 34 de la constitution, de procéder à la conciliation de principes ou de droits dont l’un au moins – le droit à la vie privée et familiale – a valeur constitutionnelle. Cette nécessaire conciliation s’est par ailleurs vu</w:t>
            </w:r>
            <w:r>
              <w:rPr>
                <w:sz w:val="20"/>
                <w:szCs w:val="20"/>
              </w:rPr>
              <w:t>e</w:t>
            </w:r>
            <w:r w:rsidRPr="00327ACF">
              <w:rPr>
                <w:sz w:val="20"/>
                <w:szCs w:val="20"/>
              </w:rPr>
              <w:t xml:space="preserve"> reconnaître par la convention 158 de l’OIT et l’article 27 de la charte sociale européenne. </w:t>
            </w:r>
          </w:p>
          <w:p w:rsidR="00656D9B" w:rsidRPr="00327ACF" w:rsidRDefault="00656D9B" w:rsidP="001A0ED2">
            <w:pPr>
              <w:autoSpaceDE w:val="0"/>
              <w:autoSpaceDN w:val="0"/>
              <w:adjustRightInd w:val="0"/>
              <w:spacing w:after="0" w:line="240" w:lineRule="auto"/>
              <w:jc w:val="both"/>
              <w:rPr>
                <w:sz w:val="20"/>
                <w:szCs w:val="20"/>
              </w:rPr>
            </w:pPr>
          </w:p>
          <w:p w:rsidR="00656D9B" w:rsidRPr="00327ACF" w:rsidRDefault="00656D9B" w:rsidP="00717ED8">
            <w:pPr>
              <w:spacing w:after="0" w:line="240" w:lineRule="auto"/>
              <w:jc w:val="both"/>
              <w:rPr>
                <w:sz w:val="20"/>
                <w:szCs w:val="20"/>
              </w:rPr>
            </w:pPr>
            <w:r w:rsidRPr="00327ACF">
              <w:rPr>
                <w:b/>
                <w:sz w:val="20"/>
                <w:szCs w:val="20"/>
              </w:rPr>
              <w:t>3/ La rupture du contrat</w:t>
            </w:r>
            <w:r w:rsidRPr="00327ACF">
              <w:rPr>
                <w:sz w:val="20"/>
                <w:szCs w:val="20"/>
              </w:rPr>
              <w:t xml:space="preserve">: </w:t>
            </w:r>
          </w:p>
          <w:p w:rsidR="00656D9B" w:rsidRPr="00327ACF" w:rsidRDefault="00656D9B" w:rsidP="00717ED8">
            <w:pPr>
              <w:spacing w:after="0" w:line="240" w:lineRule="auto"/>
              <w:jc w:val="both"/>
              <w:rPr>
                <w:sz w:val="20"/>
                <w:szCs w:val="20"/>
              </w:rPr>
            </w:pPr>
          </w:p>
          <w:p w:rsidR="00656D9B" w:rsidRPr="00327ACF" w:rsidRDefault="00656D9B" w:rsidP="00CF790D">
            <w:pPr>
              <w:spacing w:line="240" w:lineRule="auto"/>
              <w:jc w:val="both"/>
              <w:rPr>
                <w:b/>
                <w:sz w:val="20"/>
                <w:szCs w:val="20"/>
              </w:rPr>
            </w:pPr>
            <w:r w:rsidRPr="00327ACF">
              <w:rPr>
                <w:sz w:val="20"/>
                <w:szCs w:val="20"/>
              </w:rPr>
              <w:t xml:space="preserve">Le </w:t>
            </w:r>
            <w:proofErr w:type="gramStart"/>
            <w:r w:rsidRPr="00327ACF">
              <w:rPr>
                <w:sz w:val="20"/>
                <w:szCs w:val="20"/>
              </w:rPr>
              <w:t>texte dispose</w:t>
            </w:r>
            <w:proofErr w:type="gramEnd"/>
            <w:r w:rsidRPr="00327ACF">
              <w:rPr>
                <w:sz w:val="20"/>
                <w:szCs w:val="20"/>
              </w:rPr>
              <w:t xml:space="preserve"> que la rupture s’analyse comme la conséquence du refus du salarié de se voir appliquer l’accord alors même que le texte n’apporte aucune garantie sur les salariés qui seront visés par l’accord. Tous les salariés de l’entreprise sont potentiellement concernés par l’accord ? </w:t>
            </w:r>
            <w:r w:rsidRPr="00327ACF">
              <w:rPr>
                <w:b/>
                <w:sz w:val="20"/>
                <w:szCs w:val="20"/>
              </w:rPr>
              <w:t xml:space="preserve">Ce type d’accord permettra aux employeurs de licencier certains salariés sans avoir à respecter  les critères d’ordre de licenciement qui permettent de s’assurer d’un minimum d’objectivité. </w:t>
            </w:r>
            <w:r w:rsidRPr="00327ACF">
              <w:rPr>
                <w:sz w:val="20"/>
                <w:szCs w:val="20"/>
              </w:rPr>
              <w:t xml:space="preserve">Dans la mesure où ces accords ne sont pas soumis à validation par l’administration, </w:t>
            </w:r>
            <w:r w:rsidRPr="00327ACF">
              <w:rPr>
                <w:b/>
                <w:sz w:val="20"/>
                <w:szCs w:val="20"/>
              </w:rPr>
              <w:t>les employeurs pourraient utiliser les accords de mobilité interne pour échapper à la procédure de licenciements économiques</w:t>
            </w:r>
            <w:r w:rsidRPr="00327ACF">
              <w:rPr>
                <w:sz w:val="20"/>
                <w:szCs w:val="20"/>
              </w:rPr>
              <w:t xml:space="preserve"> mise en place par l’article 13.</w:t>
            </w:r>
          </w:p>
          <w:p w:rsidR="00656D9B" w:rsidRPr="00327ACF" w:rsidRDefault="00656D9B" w:rsidP="0074352E">
            <w:pPr>
              <w:spacing w:after="0" w:line="240" w:lineRule="auto"/>
              <w:jc w:val="both"/>
              <w:rPr>
                <w:sz w:val="20"/>
                <w:szCs w:val="20"/>
              </w:rPr>
            </w:pPr>
            <w:r w:rsidRPr="00327ACF">
              <w:rPr>
                <w:sz w:val="20"/>
                <w:szCs w:val="20"/>
              </w:rPr>
              <w:t xml:space="preserve">L’article  L.2242-23 analyse le licenciement comme « reposant » sur </w:t>
            </w:r>
            <w:r w:rsidRPr="00327ACF">
              <w:rPr>
                <w:b/>
                <w:sz w:val="20"/>
                <w:szCs w:val="20"/>
              </w:rPr>
              <w:t xml:space="preserve">un motif économique mais exonère les employeurs de respecter la procédure pour licenciements collectifs </w:t>
            </w:r>
            <w:r w:rsidRPr="00327ACF">
              <w:rPr>
                <w:sz w:val="20"/>
                <w:szCs w:val="20"/>
              </w:rPr>
              <w:t xml:space="preserve">si plusieurs salariés sont concernés. Ce qui est </w:t>
            </w:r>
            <w:r w:rsidRPr="00327ACF">
              <w:rPr>
                <w:b/>
                <w:sz w:val="20"/>
                <w:szCs w:val="20"/>
              </w:rPr>
              <w:t>contraire avec la Directive de l’Union européenne sur les licenciements collectifs (Directive 98/59/CE du Conseil du 20 juillet 1998)</w:t>
            </w:r>
            <w:r w:rsidRPr="00327ACF">
              <w:rPr>
                <w:sz w:val="20"/>
                <w:szCs w:val="20"/>
              </w:rPr>
              <w:t>.</w:t>
            </w:r>
          </w:p>
          <w:p w:rsidR="00656D9B" w:rsidRPr="00327ACF" w:rsidRDefault="00656D9B" w:rsidP="0074352E">
            <w:pPr>
              <w:spacing w:after="0" w:line="240" w:lineRule="auto"/>
              <w:jc w:val="both"/>
              <w:rPr>
                <w:sz w:val="20"/>
                <w:szCs w:val="20"/>
              </w:rPr>
            </w:pPr>
          </w:p>
          <w:p w:rsidR="00656D9B" w:rsidRPr="00327ACF" w:rsidRDefault="00656D9B" w:rsidP="002D37F7">
            <w:pPr>
              <w:spacing w:line="240" w:lineRule="auto"/>
              <w:jc w:val="both"/>
              <w:rPr>
                <w:sz w:val="20"/>
                <w:szCs w:val="20"/>
              </w:rPr>
            </w:pPr>
            <w:r w:rsidRPr="00327ACF">
              <w:rPr>
                <w:sz w:val="20"/>
                <w:szCs w:val="20"/>
              </w:rPr>
              <w:t>C’est en vain que le projet de loi tente ici de soustraire l’employeur aux obligations qui lui incombent, en vertu de la directive parce que cette dernière donne une définition du licenciement collectif en fonction d’un nombre de licenciements économiques et que, si ce chiffre est atteint, il n’y a aucun moyen de s’exonérer des obligations de la directive qui prévoit notamment des règles d’information consultation et de procédures spécifiques.</w:t>
            </w:r>
          </w:p>
          <w:p w:rsidR="00656D9B" w:rsidRPr="00327ACF" w:rsidRDefault="00656D9B" w:rsidP="002D37F7">
            <w:pPr>
              <w:spacing w:line="240" w:lineRule="auto"/>
              <w:jc w:val="both"/>
              <w:rPr>
                <w:sz w:val="20"/>
                <w:szCs w:val="20"/>
              </w:rPr>
            </w:pPr>
            <w:r w:rsidRPr="00327ACF">
              <w:rPr>
                <w:sz w:val="20"/>
                <w:szCs w:val="20"/>
              </w:rPr>
              <w:t>La directive précise par ailleurs que sont assimilées aux licenciements les cessations du contrat de travail intervenues à l’initiative de l’employeur pour un ou plusieurs motifs non inhérents à la personne des travailleurs, à condition que les licenciements soient au moins au nombre de cinq.</w:t>
            </w:r>
          </w:p>
          <w:p w:rsidR="00656D9B" w:rsidRPr="00327ACF" w:rsidRDefault="00656D9B" w:rsidP="002D37F7">
            <w:pPr>
              <w:spacing w:line="240" w:lineRule="auto"/>
              <w:jc w:val="both"/>
              <w:rPr>
                <w:sz w:val="20"/>
                <w:szCs w:val="20"/>
              </w:rPr>
            </w:pPr>
          </w:p>
          <w:p w:rsidR="00656D9B" w:rsidRPr="00327ACF" w:rsidRDefault="00656D9B" w:rsidP="002D37F7">
            <w:pPr>
              <w:spacing w:line="240" w:lineRule="auto"/>
              <w:jc w:val="both"/>
              <w:rPr>
                <w:sz w:val="20"/>
                <w:szCs w:val="20"/>
              </w:rPr>
            </w:pPr>
            <w:r w:rsidRPr="00327ACF">
              <w:rPr>
                <w:sz w:val="20"/>
                <w:szCs w:val="20"/>
              </w:rPr>
              <w:t xml:space="preserve">Par ailleurs, le fait que l’accord « s’applique au contrat de travail » apparaît comme </w:t>
            </w:r>
            <w:r w:rsidRPr="00327ACF">
              <w:rPr>
                <w:b/>
                <w:sz w:val="20"/>
                <w:szCs w:val="20"/>
              </w:rPr>
              <w:t xml:space="preserve">contraire à la liberté contractuelle et à la force obligatoire des contrats légalement formés entre les parties. </w:t>
            </w:r>
            <w:r w:rsidRPr="00327ACF">
              <w:rPr>
                <w:sz w:val="20"/>
                <w:szCs w:val="20"/>
              </w:rPr>
              <w:t xml:space="preserve">Aucun motif d’intérêt général ne peut être mis en avant pour justifier cette atteinte, les accords étant négociés entreprise par entreprise sur des bases différentes dans chacune d’elle.  </w:t>
            </w:r>
          </w:p>
          <w:p w:rsidR="00656D9B" w:rsidRPr="00327ACF" w:rsidRDefault="00656D9B" w:rsidP="006A62E0">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Désormais, il y a clairement </w:t>
            </w:r>
            <w:r w:rsidRPr="00327ACF">
              <w:rPr>
                <w:rFonts w:cs="Calibri"/>
                <w:b/>
                <w:color w:val="000000"/>
                <w:sz w:val="20"/>
                <w:szCs w:val="20"/>
              </w:rPr>
              <w:t>un rapprochement des situations entre mobilité interne et accord compétitivité emploi</w:t>
            </w:r>
            <w:r w:rsidRPr="00327ACF">
              <w:rPr>
                <w:rFonts w:cs="Calibri"/>
                <w:color w:val="000000"/>
                <w:sz w:val="20"/>
                <w:szCs w:val="20"/>
              </w:rPr>
              <w:t xml:space="preserve"> s’agissant de l’impact sur le contrat de travail (il s’impose à lui et les clauses contraires du contrat de travail sont suspendues) et les conséquences du refus du salarié : si le salarié refuse l’application de l’accord le licenciement repose sur un motif économique mais est prononcé selon les modalités d’un licenciement individuel pour motif économique même si plusieurs salariés sont concernés. </w:t>
            </w:r>
          </w:p>
        </w:tc>
        <w:tc>
          <w:tcPr>
            <w:tcW w:w="977" w:type="pct"/>
            <w:tcBorders>
              <w:top w:val="single" w:sz="6" w:space="0" w:color="auto"/>
              <w:left w:val="single" w:sz="4" w:space="0" w:color="auto"/>
              <w:bottom w:val="single" w:sz="6" w:space="0" w:color="auto"/>
            </w:tcBorders>
          </w:tcPr>
          <w:p w:rsidR="00656D9B" w:rsidRPr="00327ACF" w:rsidRDefault="00656D9B" w:rsidP="001A0ED2">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0F7B2D">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 xml:space="preserve">Le PL a retenu l’inverse de l’ANI concernant la rupture du contrat. L’ANI précisait explicitement </w:t>
            </w:r>
            <w:r w:rsidRPr="00327ACF">
              <w:rPr>
                <w:rFonts w:eastAsia="Arial Unicode MS" w:cs="Calibri"/>
                <w:b/>
                <w:color w:val="000000"/>
                <w:sz w:val="20"/>
                <w:szCs w:val="20"/>
              </w:rPr>
              <w:t>que le refus n’entraînait pas le licenciement économique</w:t>
            </w:r>
            <w:r w:rsidRPr="00327ACF">
              <w:rPr>
                <w:rFonts w:eastAsia="Arial Unicode MS" w:cs="Calibri"/>
                <w:color w:val="000000"/>
                <w:sz w:val="20"/>
                <w:szCs w:val="20"/>
              </w:rPr>
              <w:t xml:space="preserve"> et qu’il s’agit d’un licenciement pour motif personnel. </w:t>
            </w:r>
            <w:r w:rsidRPr="00327ACF">
              <w:rPr>
                <w:rFonts w:eastAsia="Arial Unicode MS" w:cs="Calibri"/>
                <w:b/>
                <w:color w:val="000000"/>
                <w:sz w:val="20"/>
                <w:szCs w:val="20"/>
              </w:rPr>
              <w:t>Le PL retient justement le caractère économique du licenciement</w:t>
            </w:r>
            <w:r w:rsidRPr="00327ACF">
              <w:rPr>
                <w:rFonts w:eastAsia="Arial Unicode MS" w:cs="Calibri"/>
                <w:color w:val="000000"/>
                <w:sz w:val="20"/>
                <w:szCs w:val="20"/>
              </w:rPr>
              <w:t xml:space="preserve"> mais exonère les employeurs de la procédure collective si plusieurs licenciements.</w:t>
            </w:r>
          </w:p>
        </w:tc>
      </w:tr>
      <w:tr w:rsidR="00656D9B" w:rsidRPr="00327ACF" w:rsidTr="00E0775E">
        <w:trPr>
          <w:trHeight w:val="989"/>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Article 11</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Activité partielle</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37</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5C02DB">
            <w:pPr>
              <w:pStyle w:val="Paragraphedeliste"/>
              <w:numPr>
                <w:ilvl w:val="0"/>
                <w:numId w:val="17"/>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Retour d’une autorisation de l’administration mais le texte précise qu’elle peut être implicite (sic)</w:t>
            </w:r>
          </w:p>
          <w:p w:rsidR="00656D9B" w:rsidRPr="00327ACF" w:rsidRDefault="00656D9B" w:rsidP="005C02DB">
            <w:pPr>
              <w:pStyle w:val="Paragraphedeliste"/>
              <w:numPr>
                <w:ilvl w:val="0"/>
                <w:numId w:val="17"/>
              </w:numPr>
              <w:autoSpaceDE w:val="0"/>
              <w:autoSpaceDN w:val="0"/>
              <w:adjustRightInd w:val="0"/>
              <w:spacing w:after="0" w:line="240" w:lineRule="auto"/>
              <w:jc w:val="both"/>
              <w:rPr>
                <w:rFonts w:cs="Calibri"/>
                <w:color w:val="000000"/>
                <w:sz w:val="20"/>
                <w:szCs w:val="20"/>
                <w:u w:val="single"/>
              </w:rPr>
            </w:pPr>
            <w:r w:rsidRPr="00327ACF">
              <w:rPr>
                <w:rFonts w:cs="Calibri"/>
                <w:color w:val="000000"/>
                <w:sz w:val="20"/>
                <w:szCs w:val="20"/>
              </w:rPr>
              <w:t xml:space="preserve">Pour les salariés, ils peuvent être placés en activité partielle </w:t>
            </w:r>
            <w:r w:rsidRPr="00327ACF">
              <w:rPr>
                <w:rFonts w:cs="Calibri"/>
                <w:color w:val="000000"/>
                <w:sz w:val="20"/>
                <w:szCs w:val="20"/>
                <w:u w:val="single"/>
              </w:rPr>
              <w:t>individuellement ou alternativement</w:t>
            </w:r>
          </w:p>
          <w:p w:rsidR="00656D9B" w:rsidRPr="00327ACF" w:rsidRDefault="00656D9B" w:rsidP="005C02DB">
            <w:pPr>
              <w:pStyle w:val="Paragraphedeliste"/>
              <w:numPr>
                <w:ilvl w:val="0"/>
                <w:numId w:val="17"/>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Le texte fait référence à une indemnité pour les salariés et non plus une allocation pour les salariés : changement de qualification juridique pas opportun. Pour les employeurs le terme « allocation » est maintenu. </w:t>
            </w:r>
          </w:p>
          <w:p w:rsidR="00656D9B" w:rsidRPr="00327ACF" w:rsidRDefault="00656D9B" w:rsidP="005C02DB">
            <w:pPr>
              <w:pStyle w:val="Paragraphedeliste"/>
              <w:numPr>
                <w:ilvl w:val="0"/>
                <w:numId w:val="17"/>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Le texte prévoit une majoration de l’ « indemnité » pour les salariés en formation : différence de traitement pas acceptable</w:t>
            </w:r>
          </w:p>
          <w:p w:rsidR="00656D9B" w:rsidRPr="00327ACF" w:rsidRDefault="00656D9B" w:rsidP="005C02DB">
            <w:pPr>
              <w:pStyle w:val="Paragraphedeliste"/>
              <w:numPr>
                <w:ilvl w:val="0"/>
                <w:numId w:val="17"/>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Régime fiscal et social : il faut permettre de maintenir le régime aussi pour les allocations plus favorables versées sur la base d’un accord de branche</w:t>
            </w:r>
          </w:p>
          <w:p w:rsidR="00656D9B" w:rsidRPr="00327ACF" w:rsidRDefault="00656D9B" w:rsidP="00801021">
            <w:pPr>
              <w:pStyle w:val="Paragraphedeliste"/>
              <w:autoSpaceDE w:val="0"/>
              <w:autoSpaceDN w:val="0"/>
              <w:adjustRightInd w:val="0"/>
              <w:spacing w:after="0" w:line="240" w:lineRule="auto"/>
              <w:ind w:left="360"/>
              <w:jc w:val="both"/>
              <w:rPr>
                <w:rFonts w:cs="Calibri"/>
                <w:color w:val="000000"/>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CC6058">
            <w:pPr>
              <w:pStyle w:val="Paragraphedeliste"/>
              <w:autoSpaceDE w:val="0"/>
              <w:autoSpaceDN w:val="0"/>
              <w:adjustRightInd w:val="0"/>
              <w:spacing w:after="0" w:line="240" w:lineRule="auto"/>
              <w:jc w:val="both"/>
              <w:rPr>
                <w:rFonts w:eastAsia="Arial Unicode MS" w:cs="Calibri"/>
                <w:color w:val="000000"/>
                <w:sz w:val="20"/>
                <w:szCs w:val="20"/>
              </w:rPr>
            </w:pPr>
          </w:p>
        </w:tc>
      </w:tr>
      <w:tr w:rsidR="00656D9B" w:rsidRPr="00327ACF" w:rsidTr="00E0775E">
        <w:trPr>
          <w:trHeight w:val="2505"/>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DC5EB7">
            <w:pPr>
              <w:autoSpaceDE w:val="0"/>
              <w:autoSpaceDN w:val="0"/>
              <w:adjustRightInd w:val="0"/>
              <w:spacing w:after="0" w:line="240" w:lineRule="auto"/>
              <w:jc w:val="center"/>
              <w:rPr>
                <w:rFonts w:cs="Calibri"/>
                <w:b/>
                <w:bCs/>
                <w:color w:val="000000"/>
                <w:sz w:val="20"/>
                <w:szCs w:val="20"/>
              </w:rPr>
            </w:pPr>
          </w:p>
          <w:p w:rsidR="00656D9B" w:rsidRPr="00327ACF" w:rsidRDefault="00656D9B" w:rsidP="00DC5EB7">
            <w:pPr>
              <w:autoSpaceDE w:val="0"/>
              <w:autoSpaceDN w:val="0"/>
              <w:adjustRightInd w:val="0"/>
              <w:spacing w:after="0" w:line="240" w:lineRule="auto"/>
              <w:jc w:val="center"/>
              <w:rPr>
                <w:rFonts w:cs="Calibri"/>
                <w:b/>
                <w:bCs/>
                <w:color w:val="000000"/>
                <w:sz w:val="20"/>
                <w:szCs w:val="20"/>
              </w:rPr>
            </w:pPr>
          </w:p>
          <w:p w:rsidR="00656D9B" w:rsidRPr="00327ACF" w:rsidRDefault="00656D9B" w:rsidP="00DC5EB7">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12</w:t>
            </w:r>
          </w:p>
          <w:p w:rsidR="00656D9B" w:rsidRPr="00327ACF" w:rsidRDefault="00656D9B" w:rsidP="00DC5EB7">
            <w:pPr>
              <w:autoSpaceDE w:val="0"/>
              <w:autoSpaceDN w:val="0"/>
              <w:adjustRightInd w:val="0"/>
              <w:spacing w:after="0" w:line="240" w:lineRule="auto"/>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Accord de maintien dans l’emploi</w:t>
            </w: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39</w:t>
            </w: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DC5EB7">
            <w:pPr>
              <w:autoSpaceDE w:val="0"/>
              <w:autoSpaceDN w:val="0"/>
              <w:adjustRightInd w:val="0"/>
              <w:spacing w:after="0" w:line="240" w:lineRule="auto"/>
              <w:rPr>
                <w:rFonts w:cs="Calibri"/>
                <w:bCs/>
                <w:color w:val="000000"/>
                <w:sz w:val="20"/>
                <w:szCs w:val="20"/>
              </w:rPr>
            </w:pPr>
            <w:bookmarkStart w:id="0" w:name="_GoBack"/>
            <w:bookmarkEnd w:id="0"/>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DC5EB7">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12</w:t>
            </w:r>
          </w:p>
          <w:p w:rsidR="00656D9B" w:rsidRPr="00327ACF" w:rsidRDefault="00656D9B" w:rsidP="00DC5EB7">
            <w:pPr>
              <w:autoSpaceDE w:val="0"/>
              <w:autoSpaceDN w:val="0"/>
              <w:adjustRightInd w:val="0"/>
              <w:spacing w:after="0" w:line="240" w:lineRule="auto"/>
              <w:jc w:val="center"/>
              <w:rPr>
                <w:rFonts w:cs="Calibri"/>
                <w:b/>
                <w:bCs/>
                <w:color w:val="000000"/>
                <w:sz w:val="20"/>
                <w:szCs w:val="20"/>
              </w:rPr>
            </w:pPr>
          </w:p>
          <w:p w:rsidR="00656D9B" w:rsidRPr="00327ACF" w:rsidRDefault="00656D9B" w:rsidP="00DC5EB7">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Accord de maintien dans l’emploi</w:t>
            </w:r>
          </w:p>
          <w:p w:rsidR="00656D9B" w:rsidRPr="00327ACF" w:rsidRDefault="00656D9B" w:rsidP="00DC5EB7">
            <w:pPr>
              <w:autoSpaceDE w:val="0"/>
              <w:autoSpaceDN w:val="0"/>
              <w:adjustRightInd w:val="0"/>
              <w:spacing w:after="0" w:line="240" w:lineRule="auto"/>
              <w:jc w:val="center"/>
              <w:rPr>
                <w:rFonts w:cs="Calibri"/>
                <w:b/>
                <w:bCs/>
                <w:color w:val="000000"/>
                <w:sz w:val="20"/>
                <w:szCs w:val="20"/>
              </w:rPr>
            </w:pPr>
          </w:p>
          <w:p w:rsidR="00656D9B" w:rsidRPr="00327ACF" w:rsidRDefault="00656D9B" w:rsidP="00DC5EB7">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39</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BF66F4">
            <w:pPr>
              <w:spacing w:after="0" w:line="240" w:lineRule="auto"/>
              <w:contextualSpacing/>
              <w:jc w:val="both"/>
              <w:rPr>
                <w:rFonts w:eastAsia="MS Mincho" w:cs="Calibri"/>
                <w:sz w:val="20"/>
                <w:szCs w:val="20"/>
                <w:lang w:eastAsia="fr-FR"/>
              </w:rPr>
            </w:pPr>
            <w:r w:rsidRPr="00327ACF">
              <w:rPr>
                <w:rFonts w:eastAsia="MS Mincho" w:cs="Calibri"/>
                <w:sz w:val="20"/>
                <w:szCs w:val="20"/>
                <w:lang w:eastAsia="fr-FR"/>
              </w:rPr>
              <w:lastRenderedPageBreak/>
              <w:t>L’instauration d’un tel dispositif, dans les conditions énoncé</w:t>
            </w:r>
            <w:r>
              <w:rPr>
                <w:rFonts w:eastAsia="MS Mincho" w:cs="Calibri"/>
                <w:sz w:val="20"/>
                <w:szCs w:val="20"/>
                <w:lang w:eastAsia="fr-FR"/>
              </w:rPr>
              <w:t>e</w:t>
            </w:r>
            <w:r w:rsidRPr="00327ACF">
              <w:rPr>
                <w:rFonts w:eastAsia="MS Mincho" w:cs="Calibri"/>
                <w:sz w:val="20"/>
                <w:szCs w:val="20"/>
                <w:lang w:eastAsia="fr-FR"/>
              </w:rPr>
              <w:t xml:space="preserve">s, a pour conséquence de refonder entièrement la construction et la hiérarchie des normes sociales, de faire porter le risque de l’entreprise et ses conséquences sur les salariés, d’échapper à la réglementation protectrice sur les licenciements collectifs le tout en exonérant les entreprises du moindre engagement intangible de maintien de l’emploi. L’employeur pourra saisir le juge en vue de suspendre l’accord et ses obligations mais les licenciements qui ont été opérés, eux, ne seront pas suspendus. </w:t>
            </w:r>
          </w:p>
          <w:p w:rsidR="00656D9B" w:rsidRPr="00327ACF" w:rsidRDefault="00656D9B" w:rsidP="00BF66F4">
            <w:pPr>
              <w:spacing w:after="0" w:line="240" w:lineRule="auto"/>
              <w:contextualSpacing/>
              <w:jc w:val="both"/>
              <w:rPr>
                <w:rFonts w:eastAsia="MS Mincho" w:cs="Calibri"/>
                <w:sz w:val="20"/>
                <w:szCs w:val="20"/>
                <w:lang w:eastAsia="fr-FR"/>
              </w:rPr>
            </w:pPr>
          </w:p>
          <w:p w:rsidR="00656D9B" w:rsidRPr="00327ACF" w:rsidRDefault="00656D9B" w:rsidP="00BF66F4">
            <w:pPr>
              <w:spacing w:after="0" w:line="240" w:lineRule="auto"/>
              <w:contextualSpacing/>
              <w:jc w:val="both"/>
              <w:rPr>
                <w:rFonts w:eastAsia="MS Mincho" w:cs="Calibri"/>
                <w:sz w:val="20"/>
                <w:szCs w:val="20"/>
                <w:lang w:eastAsia="fr-FR"/>
              </w:rPr>
            </w:pPr>
            <w:r w:rsidRPr="00327ACF">
              <w:rPr>
                <w:rFonts w:eastAsia="MS Mincho" w:cs="Calibri"/>
                <w:sz w:val="20"/>
                <w:szCs w:val="20"/>
                <w:lang w:eastAsia="fr-FR"/>
              </w:rPr>
              <w:t xml:space="preserve">Outre que le motif économique de la rupture est reconnu, les accords qui résulteraient du projet de loi ne sont pas fondamentalement différents de ceux envisagés dans le document d’orientation relatif à « compétitivité emplois ».  Ils sont également </w:t>
            </w:r>
            <w:r w:rsidRPr="00327ACF">
              <w:rPr>
                <w:rFonts w:eastAsia="MS Mincho" w:cs="Calibri"/>
                <w:b/>
                <w:sz w:val="20"/>
                <w:szCs w:val="20"/>
                <w:lang w:eastAsia="fr-FR"/>
              </w:rPr>
              <w:t xml:space="preserve">fondés sur le postulat que les difficultés économiques impliquent de remettre en cause le </w:t>
            </w:r>
            <w:proofErr w:type="spellStart"/>
            <w:r w:rsidRPr="00327ACF">
              <w:rPr>
                <w:rFonts w:eastAsia="MS Mincho" w:cs="Calibri"/>
                <w:b/>
                <w:sz w:val="20"/>
                <w:szCs w:val="20"/>
                <w:lang w:eastAsia="fr-FR"/>
              </w:rPr>
              <w:t>tryptique</w:t>
            </w:r>
            <w:proofErr w:type="spellEnd"/>
            <w:r w:rsidRPr="00327ACF">
              <w:rPr>
                <w:rFonts w:eastAsia="MS Mincho" w:cs="Calibri"/>
                <w:b/>
                <w:sz w:val="20"/>
                <w:szCs w:val="20"/>
                <w:lang w:eastAsia="fr-FR"/>
              </w:rPr>
              <w:t xml:space="preserve"> salaire/emplois/durée du travail en oubliant au passage les questions relatives à l’organisation de l’entreprise et à ses positionnements stratégiques de marché comme élément de compétitivité</w:t>
            </w:r>
            <w:r w:rsidRPr="00327ACF">
              <w:rPr>
                <w:rFonts w:eastAsia="MS Mincho" w:cs="Calibri"/>
                <w:sz w:val="20"/>
                <w:szCs w:val="20"/>
                <w:lang w:eastAsia="fr-FR"/>
              </w:rPr>
              <w:t xml:space="preserve">. C’est l’idée que seul le coût du travail est responsable des difficultés de l’entreprise et de son absence de compétitivité. </w:t>
            </w:r>
          </w:p>
          <w:p w:rsidR="00656D9B" w:rsidRPr="00327ACF" w:rsidRDefault="00656D9B" w:rsidP="00BF66F4">
            <w:pPr>
              <w:spacing w:after="0" w:line="240" w:lineRule="auto"/>
              <w:contextualSpacing/>
              <w:jc w:val="both"/>
              <w:rPr>
                <w:rFonts w:eastAsia="MS Mincho" w:cs="Calibri"/>
                <w:sz w:val="20"/>
                <w:szCs w:val="20"/>
                <w:lang w:eastAsia="fr-FR"/>
              </w:rPr>
            </w:pPr>
          </w:p>
          <w:p w:rsidR="00656D9B" w:rsidRPr="00327ACF" w:rsidRDefault="00656D9B" w:rsidP="00BF66F4">
            <w:pPr>
              <w:spacing w:after="0" w:line="240" w:lineRule="auto"/>
              <w:contextualSpacing/>
              <w:jc w:val="both"/>
              <w:rPr>
                <w:rFonts w:eastAsia="MS Mincho" w:cs="Calibri"/>
                <w:sz w:val="20"/>
                <w:szCs w:val="20"/>
                <w:lang w:eastAsia="fr-FR"/>
              </w:rPr>
            </w:pPr>
          </w:p>
          <w:p w:rsidR="00656D9B" w:rsidRPr="00327ACF" w:rsidRDefault="00656D9B" w:rsidP="00BF66F4">
            <w:pPr>
              <w:spacing w:after="0" w:line="240" w:lineRule="auto"/>
              <w:contextualSpacing/>
              <w:jc w:val="both"/>
              <w:rPr>
                <w:rFonts w:eastAsia="MS Mincho" w:cs="Calibri"/>
                <w:sz w:val="20"/>
                <w:szCs w:val="20"/>
                <w:lang w:eastAsia="fr-FR"/>
              </w:rPr>
            </w:pPr>
          </w:p>
          <w:p w:rsidR="00656D9B" w:rsidRPr="00327ACF" w:rsidRDefault="00656D9B" w:rsidP="00BF66F4">
            <w:pPr>
              <w:spacing w:after="0" w:line="240" w:lineRule="auto"/>
              <w:contextualSpacing/>
              <w:jc w:val="both"/>
              <w:rPr>
                <w:rFonts w:eastAsia="MS Mincho" w:cs="Calibri"/>
                <w:sz w:val="20"/>
                <w:szCs w:val="20"/>
                <w:lang w:eastAsia="fr-FR"/>
              </w:rPr>
            </w:pPr>
          </w:p>
          <w:p w:rsidR="00656D9B" w:rsidRPr="00327ACF" w:rsidRDefault="00656D9B" w:rsidP="005C02DB">
            <w:pPr>
              <w:pStyle w:val="Paragraphedeliste"/>
              <w:numPr>
                <w:ilvl w:val="0"/>
                <w:numId w:val="19"/>
              </w:numPr>
              <w:spacing w:after="0" w:line="240" w:lineRule="auto"/>
              <w:jc w:val="both"/>
              <w:rPr>
                <w:rFonts w:eastAsia="MS Mincho" w:cs="Calibri"/>
                <w:i/>
                <w:sz w:val="20"/>
                <w:szCs w:val="20"/>
                <w:lang w:eastAsia="fr-FR"/>
              </w:rPr>
            </w:pPr>
            <w:r w:rsidRPr="00327ACF">
              <w:rPr>
                <w:rFonts w:eastAsia="MS Mincho" w:cs="Calibri"/>
                <w:i/>
                <w:sz w:val="20"/>
                <w:szCs w:val="20"/>
                <w:lang w:eastAsia="fr-FR"/>
              </w:rPr>
              <w:t>Le licenciement</w:t>
            </w:r>
          </w:p>
          <w:p w:rsidR="00656D9B" w:rsidRPr="00327ACF" w:rsidRDefault="00656D9B" w:rsidP="00991193">
            <w:pPr>
              <w:pStyle w:val="Paragraphedeliste"/>
              <w:spacing w:after="0" w:line="240" w:lineRule="auto"/>
              <w:jc w:val="both"/>
              <w:rPr>
                <w:rFonts w:eastAsia="MS Mincho" w:cs="Calibri"/>
                <w:i/>
                <w:sz w:val="20"/>
                <w:szCs w:val="20"/>
                <w:lang w:eastAsia="fr-FR"/>
              </w:rPr>
            </w:pPr>
          </w:p>
          <w:p w:rsidR="00656D9B" w:rsidRPr="00327ACF" w:rsidRDefault="00656D9B" w:rsidP="00FD1E79">
            <w:pPr>
              <w:spacing w:line="240" w:lineRule="auto"/>
              <w:jc w:val="both"/>
              <w:rPr>
                <w:rFonts w:eastAsia="MS Mincho" w:cs="Calibri"/>
                <w:sz w:val="20"/>
                <w:szCs w:val="20"/>
                <w:lang w:eastAsia="fr-FR"/>
              </w:rPr>
            </w:pPr>
            <w:r w:rsidRPr="00327ACF">
              <w:rPr>
                <w:rFonts w:eastAsia="MS Mincho" w:cs="Calibri"/>
                <w:sz w:val="20"/>
                <w:szCs w:val="20"/>
                <w:lang w:eastAsia="fr-FR"/>
              </w:rPr>
              <w:t xml:space="preserve">- Le fait que le licenciement est prononcé </w:t>
            </w:r>
            <w:r w:rsidRPr="00327ACF">
              <w:rPr>
                <w:rFonts w:eastAsia="MS Mincho" w:cs="Calibri"/>
                <w:b/>
                <w:sz w:val="20"/>
                <w:szCs w:val="20"/>
                <w:lang w:eastAsia="fr-FR"/>
              </w:rPr>
              <w:t>selon les modalités d’un licenciement individuel</w:t>
            </w:r>
            <w:r w:rsidRPr="00327ACF">
              <w:rPr>
                <w:rFonts w:eastAsia="MS Mincho" w:cs="Calibri"/>
                <w:sz w:val="20"/>
                <w:szCs w:val="20"/>
                <w:lang w:eastAsia="fr-FR"/>
              </w:rPr>
              <w:t xml:space="preserve"> apparaît comme contraire à la Directive de l’Union européenne sur les licenciements collectifs 98/59/CE du Conseil du 20 juillet 1998 (cf. observation article 10)</w:t>
            </w:r>
          </w:p>
          <w:p w:rsidR="00656D9B" w:rsidRPr="00327ACF" w:rsidRDefault="00656D9B" w:rsidP="00F41DB0">
            <w:pPr>
              <w:spacing w:line="240" w:lineRule="auto"/>
              <w:jc w:val="both"/>
              <w:rPr>
                <w:rFonts w:eastAsia="MS Mincho" w:cs="Calibri"/>
                <w:b/>
                <w:sz w:val="20"/>
                <w:szCs w:val="20"/>
                <w:lang w:eastAsia="fr-FR"/>
              </w:rPr>
            </w:pPr>
            <w:r w:rsidRPr="00327ACF">
              <w:rPr>
                <w:rFonts w:eastAsia="MS Mincho" w:cs="Calibri"/>
                <w:sz w:val="20"/>
                <w:szCs w:val="20"/>
                <w:lang w:eastAsia="fr-FR"/>
              </w:rPr>
              <w:t xml:space="preserve">- Par ailleurs, la rédaction de cet article semble vouloir </w:t>
            </w:r>
            <w:r w:rsidRPr="00327ACF">
              <w:rPr>
                <w:rFonts w:eastAsia="MS Mincho" w:cs="Calibri"/>
                <w:b/>
                <w:sz w:val="20"/>
                <w:szCs w:val="20"/>
                <w:lang w:eastAsia="fr-FR"/>
              </w:rPr>
              <w:t>d’exclure le contrôle du juge sur le motif du licenciement</w:t>
            </w:r>
            <w:r w:rsidRPr="00327ACF">
              <w:rPr>
                <w:rFonts w:eastAsia="MS Mincho" w:cs="Calibri"/>
                <w:sz w:val="20"/>
                <w:szCs w:val="20"/>
                <w:lang w:eastAsia="fr-FR"/>
              </w:rPr>
              <w:t xml:space="preserve"> (</w:t>
            </w:r>
            <w:r w:rsidRPr="00327ACF">
              <w:rPr>
                <w:rFonts w:eastAsia="MS Mincho" w:cs="Calibri"/>
                <w:b/>
                <w:sz w:val="20"/>
                <w:szCs w:val="20"/>
                <w:lang w:eastAsia="fr-FR"/>
              </w:rPr>
              <w:t>leur licenciement repose sur un motif économique</w:t>
            </w:r>
            <w:r w:rsidRPr="00327ACF">
              <w:rPr>
                <w:rFonts w:eastAsia="MS Mincho" w:cs="Calibri"/>
                <w:sz w:val="20"/>
                <w:szCs w:val="20"/>
                <w:lang w:eastAsia="fr-FR"/>
              </w:rPr>
              <w:t xml:space="preserve">) et instaurant une sorte de présomption de motif économique ce qui est en contradiction avec de nombreux de textes internationaux et européens : c’est le cas de l’article 6 de la CEDH qui garantit un droit à un procès équitable. C’est le cas aussi de l’article 30 de la Charte des droits fondamentaux de l’Union européenne qui énonce le droit des travailleurs à une protection contre tout licenciement injustifié, sans limitation aucune ; de l’article 8 de la convention n° 158 de l’OIT qui reconnaît au travailleur ayant fait l’objet d’un licenciement injustifié un droit de recours devant un tribunal ou tout autre organe impartial, et  </w:t>
            </w:r>
            <w:r w:rsidRPr="00327ACF">
              <w:rPr>
                <w:rFonts w:eastAsia="MS Mincho" w:cs="Calibri"/>
                <w:b/>
                <w:sz w:val="20"/>
                <w:szCs w:val="20"/>
                <w:lang w:eastAsia="fr-FR"/>
              </w:rPr>
              <w:t>l’article 9 du même texte qui exige expressément que l’organe saisi soit habilité « à examiner les motifs invoqués pour justifier le licenciement ainsi que les autres circonstances du cas et à décider si le licenciement était justifié»</w:t>
            </w:r>
          </w:p>
          <w:p w:rsidR="00656D9B" w:rsidRPr="00327ACF" w:rsidRDefault="00656D9B" w:rsidP="005C02DB">
            <w:pPr>
              <w:pStyle w:val="Paragraphedeliste"/>
              <w:numPr>
                <w:ilvl w:val="0"/>
                <w:numId w:val="18"/>
              </w:numPr>
              <w:spacing w:after="0" w:line="240" w:lineRule="auto"/>
              <w:jc w:val="both"/>
              <w:rPr>
                <w:rFonts w:eastAsia="MS Mincho" w:cs="Calibri"/>
                <w:i/>
                <w:sz w:val="20"/>
                <w:szCs w:val="20"/>
                <w:lang w:eastAsia="fr-FR"/>
              </w:rPr>
            </w:pPr>
            <w:r w:rsidRPr="00327ACF">
              <w:rPr>
                <w:rFonts w:eastAsia="MS Mincho" w:cs="Calibri"/>
                <w:i/>
                <w:sz w:val="20"/>
                <w:szCs w:val="20"/>
                <w:lang w:eastAsia="fr-FR"/>
              </w:rPr>
              <w:t xml:space="preserve">La réduction des salaires </w:t>
            </w:r>
          </w:p>
          <w:p w:rsidR="00656D9B" w:rsidRPr="00327ACF" w:rsidRDefault="00656D9B" w:rsidP="00991193">
            <w:pPr>
              <w:pStyle w:val="Paragraphedeliste"/>
              <w:spacing w:after="0" w:line="240" w:lineRule="auto"/>
              <w:jc w:val="both"/>
              <w:rPr>
                <w:rFonts w:eastAsia="MS Mincho" w:cs="Calibri"/>
                <w:i/>
                <w:sz w:val="20"/>
                <w:szCs w:val="20"/>
                <w:lang w:eastAsia="fr-FR"/>
              </w:rPr>
            </w:pPr>
          </w:p>
          <w:p w:rsidR="00656D9B" w:rsidRPr="00327ACF" w:rsidRDefault="00656D9B" w:rsidP="00FD1E79">
            <w:pPr>
              <w:spacing w:after="0" w:line="240" w:lineRule="auto"/>
              <w:jc w:val="both"/>
              <w:rPr>
                <w:rFonts w:eastAsia="MS Mincho" w:cs="Calibri"/>
                <w:sz w:val="20"/>
                <w:szCs w:val="20"/>
                <w:lang w:eastAsia="fr-FR"/>
              </w:rPr>
            </w:pPr>
            <w:r w:rsidRPr="00327ACF">
              <w:rPr>
                <w:rFonts w:eastAsia="MS Mincho" w:cs="Calibri"/>
                <w:sz w:val="20"/>
                <w:szCs w:val="20"/>
                <w:lang w:eastAsia="fr-FR"/>
              </w:rPr>
              <w:t xml:space="preserve">Il n’est en outre pas certain que la réduction des salaires opérée en contrepartie du maintien de l’emploi soit admissible au regard de la Constitution. En effet, une telle mesure constituerait à n’en pas douter une atteinte caractérisée à l’économie de contrats régulièrement passés, et donc à la liberté contractuelle. </w:t>
            </w:r>
          </w:p>
          <w:p w:rsidR="00656D9B" w:rsidRPr="00327ACF" w:rsidRDefault="00656D9B" w:rsidP="00FD1E79">
            <w:pPr>
              <w:spacing w:after="0" w:line="240" w:lineRule="auto"/>
              <w:jc w:val="both"/>
              <w:rPr>
                <w:rFonts w:eastAsia="MS Mincho" w:cs="Calibri"/>
                <w:sz w:val="20"/>
                <w:szCs w:val="20"/>
                <w:lang w:eastAsia="fr-FR"/>
              </w:rPr>
            </w:pPr>
          </w:p>
        </w:tc>
        <w:tc>
          <w:tcPr>
            <w:tcW w:w="977" w:type="pct"/>
            <w:tcBorders>
              <w:top w:val="single" w:sz="6" w:space="0" w:color="auto"/>
              <w:left w:val="single" w:sz="4" w:space="0" w:color="auto"/>
              <w:bottom w:val="single" w:sz="6" w:space="0" w:color="auto"/>
            </w:tcBorders>
          </w:tcPr>
          <w:p w:rsidR="00656D9B" w:rsidRPr="00327ACF" w:rsidRDefault="00656D9B" w:rsidP="00D320E2">
            <w:pPr>
              <w:spacing w:after="0" w:line="240" w:lineRule="auto"/>
              <w:contextualSpacing/>
              <w:jc w:val="both"/>
              <w:rPr>
                <w:rFonts w:eastAsia="Arial Unicode MS" w:cs="Calibri"/>
                <w:sz w:val="20"/>
                <w:szCs w:val="20"/>
                <w:lang w:eastAsia="fr-FR"/>
              </w:rPr>
            </w:pPr>
            <w:r w:rsidRPr="00327ACF">
              <w:rPr>
                <w:rFonts w:eastAsia="Arial Unicode MS" w:cs="Calibri"/>
                <w:sz w:val="20"/>
                <w:szCs w:val="20"/>
                <w:lang w:eastAsia="fr-FR"/>
              </w:rPr>
              <w:lastRenderedPageBreak/>
              <w:t>Le PL instaure un double seuil en deçà duquel l’employeur ne peut baisser le salaire :</w:t>
            </w:r>
          </w:p>
          <w:p w:rsidR="00656D9B" w:rsidRPr="00327ACF" w:rsidRDefault="00656D9B" w:rsidP="004F7D97">
            <w:pPr>
              <w:pStyle w:val="Paragraphedeliste"/>
              <w:numPr>
                <w:ilvl w:val="0"/>
                <w:numId w:val="24"/>
              </w:numPr>
              <w:spacing w:after="0" w:line="240" w:lineRule="auto"/>
              <w:jc w:val="both"/>
              <w:rPr>
                <w:rFonts w:eastAsia="Arial Unicode MS" w:cs="Calibri"/>
                <w:sz w:val="20"/>
                <w:szCs w:val="20"/>
                <w:lang w:eastAsia="fr-FR"/>
              </w:rPr>
            </w:pPr>
            <w:r w:rsidRPr="00327ACF">
              <w:rPr>
                <w:rFonts w:eastAsia="Arial Unicode MS" w:cs="Calibri"/>
                <w:sz w:val="20"/>
                <w:szCs w:val="20"/>
                <w:lang w:eastAsia="fr-FR"/>
              </w:rPr>
              <w:t>Ceux qui ont jusqu’à 20% au dessus du smic,</w:t>
            </w:r>
          </w:p>
          <w:p w:rsidR="00656D9B" w:rsidRPr="00327ACF" w:rsidRDefault="00656D9B" w:rsidP="004F7D97">
            <w:pPr>
              <w:pStyle w:val="Paragraphedeliste"/>
              <w:numPr>
                <w:ilvl w:val="0"/>
                <w:numId w:val="24"/>
              </w:numPr>
              <w:spacing w:after="0" w:line="240" w:lineRule="auto"/>
              <w:jc w:val="both"/>
              <w:rPr>
                <w:rFonts w:eastAsia="Arial Unicode MS" w:cs="Calibri"/>
                <w:sz w:val="20"/>
                <w:szCs w:val="20"/>
                <w:lang w:eastAsia="fr-FR"/>
              </w:rPr>
            </w:pPr>
            <w:r w:rsidRPr="00327ACF">
              <w:rPr>
                <w:rFonts w:eastAsia="Arial Unicode MS" w:cs="Calibri"/>
                <w:sz w:val="20"/>
                <w:szCs w:val="20"/>
                <w:lang w:eastAsia="fr-FR"/>
              </w:rPr>
              <w:t>et ceux dont l’accord porterait leurs salaires en dessous de 20% au dessus du SMIC</w:t>
            </w:r>
          </w:p>
          <w:p w:rsidR="00656D9B" w:rsidRPr="00327ACF" w:rsidRDefault="00656D9B" w:rsidP="00BF66F4">
            <w:pPr>
              <w:spacing w:after="0" w:line="240" w:lineRule="auto"/>
              <w:contextualSpacing/>
              <w:jc w:val="both"/>
              <w:rPr>
                <w:rFonts w:eastAsia="Arial Unicode MS" w:cs="Calibri"/>
                <w:sz w:val="20"/>
                <w:szCs w:val="20"/>
                <w:lang w:eastAsia="fr-FR"/>
              </w:rPr>
            </w:pPr>
          </w:p>
          <w:p w:rsidR="00656D9B" w:rsidRPr="00327ACF" w:rsidRDefault="00656D9B" w:rsidP="00D320E2">
            <w:pPr>
              <w:spacing w:after="0" w:line="240" w:lineRule="auto"/>
              <w:contextualSpacing/>
              <w:jc w:val="both"/>
              <w:rPr>
                <w:rFonts w:eastAsia="Arial Unicode MS" w:cs="Calibri"/>
                <w:sz w:val="20"/>
                <w:szCs w:val="20"/>
                <w:lang w:eastAsia="fr-FR"/>
              </w:rPr>
            </w:pPr>
            <w:r w:rsidRPr="00327ACF">
              <w:rPr>
                <w:rFonts w:eastAsia="Arial Unicode MS" w:cs="Calibri"/>
                <w:sz w:val="20"/>
                <w:szCs w:val="20"/>
                <w:lang w:eastAsia="fr-FR"/>
              </w:rPr>
              <w:t xml:space="preserve">Le PL n’a pas repris la faculté de remettre en cause l’accord qu’avait créée l’ANI pour les employeurs.  </w:t>
            </w:r>
          </w:p>
          <w:p w:rsidR="00656D9B" w:rsidRPr="00327ACF" w:rsidRDefault="00656D9B" w:rsidP="00D320E2">
            <w:pPr>
              <w:spacing w:after="0" w:line="240" w:lineRule="auto"/>
              <w:contextualSpacing/>
              <w:jc w:val="both"/>
              <w:rPr>
                <w:rFonts w:eastAsia="Arial Unicode MS" w:cs="Calibri"/>
                <w:sz w:val="20"/>
                <w:szCs w:val="20"/>
                <w:lang w:eastAsia="fr-FR"/>
              </w:rPr>
            </w:pPr>
          </w:p>
          <w:p w:rsidR="00656D9B" w:rsidRPr="00327ACF" w:rsidRDefault="00656D9B" w:rsidP="00D320E2">
            <w:pPr>
              <w:spacing w:after="0" w:line="240" w:lineRule="auto"/>
              <w:contextualSpacing/>
              <w:jc w:val="both"/>
              <w:rPr>
                <w:rFonts w:eastAsia="Arial Unicode MS" w:cs="Calibri"/>
                <w:sz w:val="20"/>
                <w:szCs w:val="20"/>
                <w:lang w:eastAsia="fr-FR"/>
              </w:rPr>
            </w:pPr>
            <w:r w:rsidRPr="00327ACF">
              <w:rPr>
                <w:rFonts w:eastAsia="Arial Unicode MS" w:cs="Calibri"/>
                <w:sz w:val="20"/>
                <w:szCs w:val="20"/>
                <w:lang w:eastAsia="fr-FR"/>
              </w:rPr>
              <w:lastRenderedPageBreak/>
              <w:t>Le PL exige des stipulations équivalentes en termes d’effort pour la rémunération des mandataires sociaux et le versement des dividendes alors que l’ANI ne faisait qu’envisager le respect d’une « certaine symétrie ».</w:t>
            </w:r>
          </w:p>
          <w:p w:rsidR="00656D9B" w:rsidRPr="00327ACF" w:rsidRDefault="00656D9B" w:rsidP="00D320E2">
            <w:pPr>
              <w:spacing w:after="0" w:line="240" w:lineRule="auto"/>
              <w:contextualSpacing/>
              <w:jc w:val="both"/>
              <w:rPr>
                <w:rFonts w:eastAsia="Arial Unicode MS" w:cs="Calibri"/>
                <w:sz w:val="20"/>
                <w:szCs w:val="20"/>
                <w:lang w:eastAsia="fr-FR"/>
              </w:rPr>
            </w:pPr>
          </w:p>
          <w:p w:rsidR="00656D9B" w:rsidRPr="00327ACF" w:rsidRDefault="00656D9B" w:rsidP="004F7D97">
            <w:pPr>
              <w:spacing w:after="0" w:line="240" w:lineRule="auto"/>
              <w:contextualSpacing/>
              <w:jc w:val="both"/>
              <w:rPr>
                <w:rFonts w:eastAsia="Arial Unicode MS" w:cs="Calibri"/>
                <w:sz w:val="20"/>
                <w:szCs w:val="20"/>
                <w:lang w:eastAsia="fr-FR"/>
              </w:rPr>
            </w:pPr>
            <w:r w:rsidRPr="00327ACF">
              <w:rPr>
                <w:rFonts w:eastAsia="Arial Unicode MS" w:cs="Calibri"/>
                <w:sz w:val="20"/>
                <w:szCs w:val="20"/>
                <w:lang w:eastAsia="fr-FR"/>
              </w:rPr>
              <w:t xml:space="preserve">Le PL n’a pas repris que la cause du licenciement est attestée par l’accord.  </w:t>
            </w:r>
          </w:p>
        </w:tc>
      </w:tr>
      <w:tr w:rsidR="00656D9B" w:rsidRPr="00327ACF" w:rsidTr="00E0775E">
        <w:trPr>
          <w:trHeight w:val="1229"/>
        </w:trPr>
        <w:tc>
          <w:tcPr>
            <w:tcW w:w="542" w:type="pct"/>
            <w:tcBorders>
              <w:top w:val="single" w:sz="6" w:space="0" w:color="auto"/>
              <w:left w:val="single" w:sz="4" w:space="0" w:color="auto"/>
              <w:bottom w:val="single" w:sz="6" w:space="0" w:color="auto"/>
              <w:right w:val="single" w:sz="6" w:space="0" w:color="auto"/>
            </w:tcBorders>
            <w:shd w:val="clear" w:color="auto" w:fill="DBE5F1"/>
            <w:vAlign w:val="center"/>
          </w:tcPr>
          <w:p w:rsidR="00656D9B" w:rsidRPr="00327ACF" w:rsidRDefault="00656D9B" w:rsidP="00230D5F">
            <w:pPr>
              <w:autoSpaceDE w:val="0"/>
              <w:autoSpaceDN w:val="0"/>
              <w:adjustRightInd w:val="0"/>
              <w:spacing w:after="0" w:line="240" w:lineRule="auto"/>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13</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Procédure</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Licenciement plus de 10 salariés</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41</w:t>
            </w: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14</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p w:rsidR="00656D9B" w:rsidRPr="00327ACF" w:rsidRDefault="00656D9B" w:rsidP="004D17DF">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41</w:t>
            </w:r>
          </w:p>
          <w:p w:rsidR="00656D9B" w:rsidRPr="00327ACF" w:rsidRDefault="00656D9B" w:rsidP="001B256B">
            <w:pPr>
              <w:autoSpaceDE w:val="0"/>
              <w:autoSpaceDN w:val="0"/>
              <w:adjustRightInd w:val="0"/>
              <w:spacing w:after="0" w:line="240" w:lineRule="auto"/>
              <w:jc w:val="center"/>
              <w:rPr>
                <w:rFonts w:cs="Calibri"/>
                <w:b/>
                <w:bCs/>
                <w:color w:val="000000"/>
                <w:sz w:val="20"/>
                <w:szCs w:val="20"/>
              </w:rPr>
            </w:pP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177DFC">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lastRenderedPageBreak/>
              <w:t xml:space="preserve">Plus de treize pages du projet de loi sont consacrées à la refonte des procédures de licenciements collectifs pour motif économique. Et pourtant les outils existaient déjà dans le code du travail. Ainsi lorsque le projet de loi prévoit que la procédure à suivre, le contenu du PSE et les mesures d’accompagnement fassent l’objet d’un accord collectif, il reformule et réorganise ce qui existait déjà à savoir des accords de méthode qui pouvaient anticiper le contenu du PSE. De la même manière, la faculté pour l’employeur de procéder par acte unilatéral est ce qui se pratique d’ores et déjà le plus souvent. </w:t>
            </w:r>
          </w:p>
          <w:p w:rsidR="00656D9B" w:rsidRPr="00327ACF" w:rsidRDefault="00656D9B" w:rsidP="00177DFC">
            <w:pPr>
              <w:autoSpaceDE w:val="0"/>
              <w:autoSpaceDN w:val="0"/>
              <w:adjustRightInd w:val="0"/>
              <w:spacing w:after="0" w:line="240" w:lineRule="auto"/>
              <w:jc w:val="both"/>
              <w:rPr>
                <w:rFonts w:cs="Calibri"/>
                <w:color w:val="000000"/>
                <w:sz w:val="20"/>
                <w:szCs w:val="20"/>
              </w:rPr>
            </w:pPr>
          </w:p>
          <w:p w:rsidR="00656D9B" w:rsidRPr="00327ACF" w:rsidRDefault="00656D9B" w:rsidP="00991193">
            <w:pPr>
              <w:autoSpaceDE w:val="0"/>
              <w:autoSpaceDN w:val="0"/>
              <w:adjustRightInd w:val="0"/>
              <w:spacing w:after="0" w:line="240" w:lineRule="auto"/>
              <w:jc w:val="both"/>
              <w:rPr>
                <w:rFonts w:cs="Calibri"/>
                <w:b/>
                <w:color w:val="000000"/>
                <w:sz w:val="20"/>
                <w:szCs w:val="20"/>
              </w:rPr>
            </w:pPr>
            <w:r w:rsidRPr="00B57219">
              <w:rPr>
                <w:rFonts w:ascii="Arial Unicode MS" w:eastAsia="Arial Unicode MS" w:hAnsi="Arial Unicode MS" w:cs="Arial Unicode MS" w:hint="eastAsia"/>
                <w:color w:val="000000"/>
                <w:sz w:val="20"/>
                <w:szCs w:val="20"/>
              </w:rPr>
              <w:t>⇒</w:t>
            </w:r>
            <w:r w:rsidRPr="00327ACF">
              <w:rPr>
                <w:rFonts w:cs="Calibri"/>
                <w:color w:val="000000"/>
                <w:sz w:val="20"/>
                <w:szCs w:val="20"/>
              </w:rPr>
              <w:t xml:space="preserve"> </w:t>
            </w:r>
            <w:r w:rsidRPr="00327ACF">
              <w:rPr>
                <w:rFonts w:cs="Calibri"/>
                <w:b/>
                <w:color w:val="000000"/>
                <w:sz w:val="20"/>
                <w:szCs w:val="20"/>
              </w:rPr>
              <w:t xml:space="preserve">Le seul intérêt de cet article réside, pour les employeurs, dans la mise en place de délais restreints et impératifs en matière de consultation, </w:t>
            </w:r>
            <w:proofErr w:type="gramStart"/>
            <w:r w:rsidRPr="00327ACF">
              <w:rPr>
                <w:rFonts w:cs="Calibri"/>
                <w:b/>
                <w:color w:val="000000"/>
                <w:sz w:val="20"/>
                <w:szCs w:val="20"/>
              </w:rPr>
              <w:t>d’expertise</w:t>
            </w:r>
            <w:proofErr w:type="gramEnd"/>
            <w:r w:rsidRPr="00327ACF">
              <w:rPr>
                <w:rFonts w:cs="Calibri"/>
                <w:b/>
                <w:color w:val="000000"/>
                <w:sz w:val="20"/>
                <w:szCs w:val="20"/>
              </w:rPr>
              <w:t xml:space="preserve"> et de recours au juge. </w:t>
            </w:r>
          </w:p>
          <w:p w:rsidR="00656D9B" w:rsidRPr="00327ACF" w:rsidRDefault="00656D9B" w:rsidP="00991193">
            <w:pPr>
              <w:autoSpaceDE w:val="0"/>
              <w:autoSpaceDN w:val="0"/>
              <w:adjustRightInd w:val="0"/>
              <w:spacing w:after="0" w:line="240" w:lineRule="auto"/>
              <w:jc w:val="both"/>
              <w:rPr>
                <w:rFonts w:cs="Calibri"/>
                <w:b/>
                <w:color w:val="000000"/>
                <w:sz w:val="20"/>
                <w:szCs w:val="20"/>
              </w:rPr>
            </w:pPr>
          </w:p>
          <w:p w:rsidR="00656D9B" w:rsidRPr="00327ACF" w:rsidRDefault="00656D9B" w:rsidP="00991193">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En opérant de la sorte le législateur reprend à son compte les arguments patronaux de rigidité du marché du travail français et le fait que «  les ruptures d’aujourd’hui sont les emplois de demain ». </w:t>
            </w:r>
          </w:p>
          <w:p w:rsidR="00656D9B" w:rsidRPr="00327ACF" w:rsidRDefault="00656D9B" w:rsidP="00991193">
            <w:pPr>
              <w:autoSpaceDE w:val="0"/>
              <w:autoSpaceDN w:val="0"/>
              <w:adjustRightInd w:val="0"/>
              <w:spacing w:after="0" w:line="240" w:lineRule="auto"/>
              <w:jc w:val="both"/>
              <w:rPr>
                <w:rFonts w:cs="Calibri"/>
                <w:color w:val="000000"/>
                <w:sz w:val="20"/>
                <w:szCs w:val="20"/>
              </w:rPr>
            </w:pPr>
          </w:p>
          <w:p w:rsidR="00656D9B" w:rsidRPr="00327ACF" w:rsidRDefault="00656D9B" w:rsidP="00991193">
            <w:pPr>
              <w:autoSpaceDE w:val="0"/>
              <w:autoSpaceDN w:val="0"/>
              <w:adjustRightInd w:val="0"/>
              <w:spacing w:after="0" w:line="240" w:lineRule="auto"/>
              <w:jc w:val="both"/>
              <w:rPr>
                <w:rFonts w:cs="Calibri"/>
                <w:color w:val="000000"/>
                <w:sz w:val="20"/>
                <w:szCs w:val="20"/>
              </w:rPr>
            </w:pPr>
          </w:p>
          <w:p w:rsidR="00656D9B" w:rsidRPr="00327ACF" w:rsidRDefault="00656D9B" w:rsidP="005C02DB">
            <w:pPr>
              <w:pStyle w:val="Paragraphedeliste"/>
              <w:numPr>
                <w:ilvl w:val="0"/>
                <w:numId w:val="18"/>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lastRenderedPageBreak/>
              <w:t>Concernant l’intervention de l’autorité administrative</w:t>
            </w:r>
            <w:r w:rsidRPr="00327ACF">
              <w:rPr>
                <w:rFonts w:cs="Calibri"/>
                <w:b/>
                <w:color w:val="000000"/>
                <w:sz w:val="20"/>
                <w:szCs w:val="20"/>
              </w:rPr>
              <w:t>, les délais au cours desquels les contrôles sont opérés sont beaucoup trop courts</w:t>
            </w:r>
            <w:r w:rsidRPr="00327ACF">
              <w:rPr>
                <w:rFonts w:cs="Calibri"/>
                <w:color w:val="000000"/>
                <w:sz w:val="20"/>
                <w:szCs w:val="20"/>
              </w:rPr>
              <w:t xml:space="preserve"> au regard de la charge de travail et du manque d’agents. Le contrôle devrait pouvoir porter aussi sur l’existence de la cause économique. </w:t>
            </w:r>
          </w:p>
          <w:p w:rsidR="00656D9B" w:rsidRPr="00327ACF" w:rsidRDefault="00656D9B" w:rsidP="00212F79">
            <w:pPr>
              <w:autoSpaceDE w:val="0"/>
              <w:autoSpaceDN w:val="0"/>
              <w:adjustRightInd w:val="0"/>
              <w:spacing w:after="0" w:line="240" w:lineRule="auto"/>
              <w:jc w:val="both"/>
              <w:rPr>
                <w:rFonts w:cs="Calibri"/>
                <w:color w:val="000000"/>
                <w:sz w:val="20"/>
                <w:szCs w:val="20"/>
              </w:rPr>
            </w:pPr>
          </w:p>
          <w:p w:rsidR="00656D9B" w:rsidRPr="00327ACF" w:rsidRDefault="00656D9B" w:rsidP="005C02DB">
            <w:pPr>
              <w:pStyle w:val="Paragraphedeliste"/>
              <w:numPr>
                <w:ilvl w:val="0"/>
                <w:numId w:val="18"/>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Les nouveaux articles L1233-58 du code du travail et L.1235-16 qui indique l’impossibilité de licencier avant homologation ou validation mais qui prévoit  que  la sanction est </w:t>
            </w:r>
            <w:r w:rsidRPr="00327ACF">
              <w:rPr>
                <w:rFonts w:cs="Calibri"/>
                <w:b/>
                <w:color w:val="000000"/>
                <w:sz w:val="20"/>
                <w:szCs w:val="20"/>
              </w:rPr>
              <w:t>seulement une irrégularité dont le montant minimum est de 6 mois. Or, si l’employeur n’a pas obtenu l’homologation les licenciements réalisés doivent encourir la nullité et le salarié obtenir au minimum 12 mois de salaires comme le prévoit l’actuel article L.1235-11 si la réintégration est impossible.</w:t>
            </w:r>
          </w:p>
          <w:p w:rsidR="00656D9B" w:rsidRPr="00327ACF" w:rsidRDefault="00656D9B" w:rsidP="001300C9">
            <w:pPr>
              <w:autoSpaceDE w:val="0"/>
              <w:autoSpaceDN w:val="0"/>
              <w:adjustRightInd w:val="0"/>
              <w:spacing w:after="0" w:line="240" w:lineRule="auto"/>
              <w:jc w:val="both"/>
              <w:rPr>
                <w:rFonts w:cs="Calibri"/>
                <w:color w:val="000000"/>
                <w:sz w:val="20"/>
                <w:szCs w:val="20"/>
              </w:rPr>
            </w:pPr>
          </w:p>
          <w:p w:rsidR="00656D9B" w:rsidRPr="00327ACF" w:rsidRDefault="00656D9B" w:rsidP="001300C9">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Un bloc de compétence administratif très large </w:t>
            </w:r>
            <w:r w:rsidRPr="00327ACF">
              <w:rPr>
                <w:rFonts w:cs="Calibri"/>
                <w:b/>
                <w:color w:val="000000"/>
                <w:sz w:val="20"/>
                <w:szCs w:val="20"/>
              </w:rPr>
              <w:t>est prévu mais surtout une procédure aboutissant à un déni de justice</w:t>
            </w:r>
            <w:r w:rsidRPr="00327ACF">
              <w:rPr>
                <w:rFonts w:cs="Calibri"/>
                <w:color w:val="000000"/>
                <w:sz w:val="20"/>
                <w:szCs w:val="20"/>
              </w:rPr>
              <w:t xml:space="preserve"> est organisée lorsque le texte précise que si le tribunal ne se prononce pas dans les trois mois, le tribunal est dessaisi d’office. Cette situation entraîne tout à la fois un </w:t>
            </w:r>
            <w:r w:rsidRPr="00327ACF">
              <w:rPr>
                <w:rFonts w:cs="Calibri"/>
                <w:b/>
                <w:color w:val="000000"/>
                <w:sz w:val="20"/>
                <w:szCs w:val="20"/>
              </w:rPr>
              <w:t>déni de justice, et une perte de chance</w:t>
            </w:r>
            <w:r w:rsidRPr="00327ACF">
              <w:rPr>
                <w:rFonts w:cs="Calibri"/>
                <w:color w:val="000000"/>
                <w:sz w:val="20"/>
                <w:szCs w:val="20"/>
              </w:rPr>
              <w:t xml:space="preserve"> pour le salarié de voir un tribunal se prononcer en premier ressort et peut s’avérer </w:t>
            </w:r>
            <w:r w:rsidRPr="00327ACF">
              <w:rPr>
                <w:rFonts w:cs="Calibri"/>
                <w:b/>
                <w:color w:val="000000"/>
                <w:sz w:val="20"/>
                <w:szCs w:val="20"/>
              </w:rPr>
              <w:t>contraire notamment à l’article 6 de la directive 98/59 sur les licenciements collectifs</w:t>
            </w:r>
            <w:r w:rsidRPr="00327ACF">
              <w:rPr>
                <w:rFonts w:cs="Calibri"/>
                <w:color w:val="000000"/>
                <w:sz w:val="20"/>
                <w:szCs w:val="20"/>
              </w:rPr>
              <w:t xml:space="preserve">  qui précise que les Etats doivent veiller à ce que les travailleurs disposent de procédures aux fins de faire respecter les obligations prévues par elle. Il est en effet à craindre que le manque de moyens dont souffrent les tribunaux ne leur permet pas de rendre un avis dans les délais impartis. </w:t>
            </w:r>
          </w:p>
          <w:p w:rsidR="00656D9B" w:rsidRPr="00327ACF" w:rsidRDefault="00656D9B" w:rsidP="00212F79">
            <w:pPr>
              <w:autoSpaceDE w:val="0"/>
              <w:autoSpaceDN w:val="0"/>
              <w:adjustRightInd w:val="0"/>
              <w:spacing w:after="0" w:line="240" w:lineRule="auto"/>
              <w:jc w:val="both"/>
              <w:rPr>
                <w:rFonts w:cs="Calibri"/>
                <w:color w:val="000000"/>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177DFC">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1D0F70">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 xml:space="preserve">Le PL a mis en place une procédure de validation de l’accord collectif, ce que n’avait pas envisagé l’ANI. </w:t>
            </w:r>
          </w:p>
          <w:p w:rsidR="00656D9B" w:rsidRPr="00327ACF" w:rsidRDefault="00656D9B" w:rsidP="001D0F70">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 xml:space="preserve">La demande d’homologation ou de validation intervient sur la base des documents définitifs et non plus seulement sur un projet ce qui constitue une amélioration. </w:t>
            </w: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 xml:space="preserve"> </w:t>
            </w: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p>
          <w:p w:rsidR="00656D9B" w:rsidRPr="00327ACF" w:rsidRDefault="00656D9B" w:rsidP="007D30D7">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Le bloc de compétence administratif : un choix des auteurs du PL alors que la négociation de l’ANI avait abouti à écarter cette hypothèse.</w:t>
            </w:r>
          </w:p>
        </w:tc>
      </w:tr>
      <w:tr w:rsidR="00656D9B" w:rsidRPr="00327ACF" w:rsidTr="00E0775E">
        <w:trPr>
          <w:trHeight w:val="1611"/>
        </w:trPr>
        <w:tc>
          <w:tcPr>
            <w:tcW w:w="542" w:type="pct"/>
            <w:tcBorders>
              <w:top w:val="single" w:sz="6" w:space="0" w:color="auto"/>
              <w:left w:val="single" w:sz="4" w:space="0" w:color="auto"/>
              <w:bottom w:val="single" w:sz="6" w:space="0" w:color="auto"/>
              <w:right w:val="single" w:sz="6" w:space="0" w:color="auto"/>
            </w:tcBorders>
            <w:shd w:val="clear" w:color="auto" w:fill="DBE5F1"/>
          </w:tcPr>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14</w:t>
            </w: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rsidP="009D2003">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Reprise de site</w:t>
            </w:r>
          </w:p>
          <w:p w:rsidR="00656D9B" w:rsidRPr="00327ACF" w:rsidRDefault="00656D9B" w:rsidP="009D2003">
            <w:pPr>
              <w:autoSpaceDE w:val="0"/>
              <w:autoSpaceDN w:val="0"/>
              <w:adjustRightInd w:val="0"/>
              <w:spacing w:after="0" w:line="240" w:lineRule="auto"/>
              <w:jc w:val="center"/>
              <w:rPr>
                <w:rFonts w:cs="Calibri"/>
                <w:b/>
                <w:bCs/>
                <w:color w:val="000000"/>
                <w:sz w:val="20"/>
                <w:szCs w:val="20"/>
              </w:rPr>
            </w:pPr>
          </w:p>
          <w:p w:rsidR="00656D9B" w:rsidRPr="00327ACF" w:rsidRDefault="00656D9B" w:rsidP="009D2003">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 xml:space="preserve">Page 54 </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0267F0">
            <w:pPr>
              <w:autoSpaceDE w:val="0"/>
              <w:autoSpaceDN w:val="0"/>
              <w:adjustRightInd w:val="0"/>
              <w:spacing w:after="0" w:line="240" w:lineRule="auto"/>
              <w:jc w:val="both"/>
              <w:rPr>
                <w:rFonts w:cs="Calibri"/>
                <w:sz w:val="20"/>
                <w:szCs w:val="20"/>
              </w:rPr>
            </w:pPr>
            <w:r w:rsidRPr="00327ACF">
              <w:rPr>
                <w:rFonts w:cs="Calibri"/>
                <w:color w:val="000000"/>
                <w:sz w:val="20"/>
                <w:szCs w:val="20"/>
              </w:rPr>
              <w:t>La rédaction de l’article L.1233-90 est surprenante : « </w:t>
            </w:r>
            <w:r w:rsidRPr="00327ACF">
              <w:rPr>
                <w:rFonts w:cs="Calibri"/>
                <w:sz w:val="20"/>
                <w:szCs w:val="20"/>
              </w:rPr>
              <w:t>Lorsqu’elle envisage un projet de licenciement collectif ayant pour conséquence la fermeture d’un établissement »</w:t>
            </w:r>
          </w:p>
          <w:p w:rsidR="00656D9B" w:rsidRPr="00327ACF" w:rsidRDefault="00656D9B" w:rsidP="000267F0">
            <w:pPr>
              <w:autoSpaceDE w:val="0"/>
              <w:autoSpaceDN w:val="0"/>
              <w:adjustRightInd w:val="0"/>
              <w:spacing w:after="0" w:line="240" w:lineRule="auto"/>
              <w:jc w:val="both"/>
              <w:rPr>
                <w:rFonts w:cs="Calibri"/>
                <w:sz w:val="20"/>
                <w:szCs w:val="20"/>
              </w:rPr>
            </w:pPr>
          </w:p>
          <w:p w:rsidR="00656D9B" w:rsidRPr="00327ACF" w:rsidRDefault="00656D9B" w:rsidP="000267F0">
            <w:pPr>
              <w:pStyle w:val="Paragraphedeliste"/>
              <w:numPr>
                <w:ilvl w:val="0"/>
                <w:numId w:val="23"/>
              </w:numPr>
              <w:autoSpaceDE w:val="0"/>
              <w:autoSpaceDN w:val="0"/>
              <w:adjustRightInd w:val="0"/>
              <w:spacing w:after="0" w:line="240" w:lineRule="auto"/>
              <w:jc w:val="both"/>
              <w:rPr>
                <w:rFonts w:cs="Calibri"/>
                <w:sz w:val="20"/>
                <w:szCs w:val="20"/>
              </w:rPr>
            </w:pPr>
            <w:r w:rsidRPr="00327ACF">
              <w:rPr>
                <w:rFonts w:cs="Calibri"/>
                <w:color w:val="000000"/>
                <w:sz w:val="20"/>
                <w:szCs w:val="20"/>
              </w:rPr>
              <w:t>Mais ne peut-on pas fermer un site sans licencier ? Est-ce que c’est la décision de fermer le site qui motive les licenciements ou les licenciements qui motivent la fermeture….</w:t>
            </w:r>
          </w:p>
          <w:p w:rsidR="00656D9B" w:rsidRPr="00327ACF" w:rsidRDefault="00656D9B" w:rsidP="000267F0">
            <w:pPr>
              <w:pStyle w:val="Paragraphedeliste"/>
              <w:autoSpaceDE w:val="0"/>
              <w:autoSpaceDN w:val="0"/>
              <w:adjustRightInd w:val="0"/>
              <w:spacing w:after="0" w:line="240" w:lineRule="auto"/>
              <w:jc w:val="both"/>
              <w:rPr>
                <w:rFonts w:cs="Calibri"/>
                <w:sz w:val="20"/>
                <w:szCs w:val="20"/>
              </w:rPr>
            </w:pPr>
          </w:p>
          <w:p w:rsidR="00656D9B" w:rsidRPr="00327ACF" w:rsidRDefault="00656D9B" w:rsidP="00714983">
            <w:pPr>
              <w:autoSpaceDE w:val="0"/>
              <w:autoSpaceDN w:val="0"/>
              <w:adjustRightInd w:val="0"/>
              <w:spacing w:after="0"/>
              <w:jc w:val="both"/>
              <w:rPr>
                <w:rFonts w:cs="Calibri"/>
                <w:color w:val="000000"/>
                <w:sz w:val="20"/>
                <w:szCs w:val="20"/>
              </w:rPr>
            </w:pPr>
            <w:r w:rsidRPr="00327ACF">
              <w:rPr>
                <w:rFonts w:cs="Calibri"/>
                <w:color w:val="000000"/>
                <w:sz w:val="20"/>
                <w:szCs w:val="20"/>
              </w:rPr>
              <w:t>Il résulte de cet article que seule</w:t>
            </w:r>
            <w:r>
              <w:rPr>
                <w:rFonts w:cs="Calibri"/>
                <w:color w:val="000000"/>
                <w:sz w:val="20"/>
                <w:szCs w:val="20"/>
              </w:rPr>
              <w:t>s</w:t>
            </w:r>
            <w:r w:rsidRPr="00327ACF">
              <w:rPr>
                <w:rFonts w:cs="Calibri"/>
                <w:color w:val="000000"/>
                <w:sz w:val="20"/>
                <w:szCs w:val="20"/>
              </w:rPr>
              <w:t xml:space="preserve"> les </w:t>
            </w:r>
            <w:r w:rsidRPr="00327ACF">
              <w:rPr>
                <w:rFonts w:cs="Calibri"/>
                <w:b/>
                <w:color w:val="000000"/>
                <w:sz w:val="20"/>
                <w:szCs w:val="20"/>
              </w:rPr>
              <w:t>entreprises de 1000 salariés et plus</w:t>
            </w:r>
            <w:r w:rsidRPr="00327ACF">
              <w:rPr>
                <w:rFonts w:cs="Calibri"/>
                <w:color w:val="000000"/>
                <w:sz w:val="20"/>
                <w:szCs w:val="20"/>
              </w:rPr>
              <w:t xml:space="preserve"> seront concernées et liées par la nécessité de rechercher un repreneur et d’en informer </w:t>
            </w:r>
            <w:proofErr w:type="gramStart"/>
            <w:r w:rsidRPr="00327ACF">
              <w:rPr>
                <w:rFonts w:cs="Calibri"/>
                <w:color w:val="000000"/>
                <w:sz w:val="20"/>
                <w:szCs w:val="20"/>
              </w:rPr>
              <w:t>le</w:t>
            </w:r>
            <w:proofErr w:type="gramEnd"/>
            <w:r w:rsidRPr="00327ACF">
              <w:rPr>
                <w:rFonts w:cs="Calibri"/>
                <w:color w:val="000000"/>
                <w:sz w:val="20"/>
                <w:szCs w:val="20"/>
              </w:rPr>
              <w:t xml:space="preserve"> CE. </w:t>
            </w:r>
          </w:p>
        </w:tc>
        <w:tc>
          <w:tcPr>
            <w:tcW w:w="977" w:type="pct"/>
            <w:tcBorders>
              <w:top w:val="single" w:sz="6" w:space="0" w:color="auto"/>
              <w:left w:val="single" w:sz="4" w:space="0" w:color="auto"/>
              <w:bottom w:val="single" w:sz="6" w:space="0" w:color="auto"/>
            </w:tcBorders>
          </w:tcPr>
          <w:p w:rsidR="00656D9B" w:rsidRPr="00327ACF" w:rsidRDefault="00656D9B" w:rsidP="00A42F03">
            <w:pPr>
              <w:autoSpaceDE w:val="0"/>
              <w:autoSpaceDN w:val="0"/>
              <w:adjustRightInd w:val="0"/>
              <w:spacing w:after="0" w:line="240" w:lineRule="auto"/>
              <w:jc w:val="both"/>
              <w:rPr>
                <w:rFonts w:cs="Calibri"/>
                <w:color w:val="000000"/>
                <w:sz w:val="20"/>
                <w:szCs w:val="20"/>
              </w:rPr>
            </w:pPr>
          </w:p>
          <w:p w:rsidR="00656D9B" w:rsidRPr="00327ACF" w:rsidRDefault="00656D9B" w:rsidP="00A42F03">
            <w:pPr>
              <w:autoSpaceDE w:val="0"/>
              <w:autoSpaceDN w:val="0"/>
              <w:adjustRightInd w:val="0"/>
              <w:spacing w:after="0" w:line="240" w:lineRule="auto"/>
              <w:jc w:val="both"/>
              <w:rPr>
                <w:rFonts w:eastAsia="Arial Unicode MS" w:cs="Calibri"/>
                <w:color w:val="000000"/>
                <w:sz w:val="20"/>
                <w:szCs w:val="20"/>
              </w:rPr>
            </w:pPr>
            <w:r w:rsidRPr="00327ACF">
              <w:rPr>
                <w:rFonts w:eastAsia="Arial Unicode MS" w:cs="Calibri"/>
                <w:color w:val="000000"/>
                <w:sz w:val="20"/>
                <w:szCs w:val="20"/>
              </w:rPr>
              <w:t xml:space="preserve">L’ANI n’avait pas restreint aux entreprises de plus de 1000 salariés. </w:t>
            </w:r>
          </w:p>
        </w:tc>
      </w:tr>
      <w:tr w:rsidR="00656D9B" w:rsidRPr="00327ACF" w:rsidTr="00E0775E">
        <w:trPr>
          <w:trHeight w:val="1325"/>
        </w:trPr>
        <w:tc>
          <w:tcPr>
            <w:tcW w:w="542" w:type="pct"/>
            <w:tcBorders>
              <w:top w:val="single" w:sz="6" w:space="0" w:color="auto"/>
              <w:left w:val="single" w:sz="4" w:space="0" w:color="auto"/>
              <w:bottom w:val="single" w:sz="6" w:space="0" w:color="auto"/>
              <w:right w:val="single" w:sz="6" w:space="0" w:color="auto"/>
            </w:tcBorders>
            <w:shd w:val="clear" w:color="auto" w:fill="DBE5F1"/>
          </w:tcPr>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rsidP="00B57CFE">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15</w:t>
            </w:r>
          </w:p>
          <w:p w:rsidR="00656D9B" w:rsidRPr="00327ACF" w:rsidRDefault="00656D9B" w:rsidP="00B57CFE">
            <w:pPr>
              <w:autoSpaceDE w:val="0"/>
              <w:autoSpaceDN w:val="0"/>
              <w:adjustRightInd w:val="0"/>
              <w:spacing w:after="0" w:line="240" w:lineRule="auto"/>
              <w:jc w:val="center"/>
              <w:rPr>
                <w:rFonts w:cs="Calibri"/>
                <w:b/>
                <w:bCs/>
                <w:color w:val="000000"/>
                <w:sz w:val="20"/>
                <w:szCs w:val="20"/>
              </w:rPr>
            </w:pPr>
          </w:p>
          <w:p w:rsidR="00656D9B" w:rsidRPr="00327ACF" w:rsidRDefault="00656D9B" w:rsidP="00B57CFE">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Ordre des licenciements</w:t>
            </w:r>
          </w:p>
          <w:p w:rsidR="00656D9B" w:rsidRPr="00327ACF" w:rsidRDefault="00656D9B" w:rsidP="00B57CFE">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 xml:space="preserve">Et congé de reclassement </w:t>
            </w:r>
          </w:p>
          <w:p w:rsidR="00656D9B" w:rsidRPr="00327ACF" w:rsidRDefault="00656D9B" w:rsidP="00B57CFE">
            <w:pPr>
              <w:autoSpaceDE w:val="0"/>
              <w:autoSpaceDN w:val="0"/>
              <w:adjustRightInd w:val="0"/>
              <w:spacing w:after="0" w:line="240" w:lineRule="auto"/>
              <w:jc w:val="center"/>
              <w:rPr>
                <w:rFonts w:cs="Calibri"/>
                <w:b/>
                <w:bCs/>
                <w:color w:val="000000"/>
                <w:sz w:val="20"/>
                <w:szCs w:val="20"/>
              </w:rPr>
            </w:pPr>
          </w:p>
          <w:p w:rsidR="00656D9B" w:rsidRPr="00327ACF" w:rsidRDefault="00656D9B" w:rsidP="00B57CFE">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 xml:space="preserve">Page 55 </w:t>
            </w:r>
          </w:p>
          <w:p w:rsidR="00656D9B" w:rsidRPr="00327ACF" w:rsidRDefault="00656D9B" w:rsidP="00B57CFE">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 xml:space="preserve"> </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4F4F13">
            <w:pPr>
              <w:autoSpaceDE w:val="0"/>
              <w:autoSpaceDN w:val="0"/>
              <w:adjustRightInd w:val="0"/>
              <w:spacing w:after="0" w:line="240" w:lineRule="auto"/>
              <w:jc w:val="both"/>
              <w:rPr>
                <w:rFonts w:cs="Calibri"/>
                <w:color w:val="000000"/>
                <w:sz w:val="20"/>
                <w:szCs w:val="20"/>
              </w:rPr>
            </w:pPr>
          </w:p>
          <w:p w:rsidR="00656D9B" w:rsidRPr="00327ACF" w:rsidRDefault="00656D9B" w:rsidP="004F4F13">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Le critère des qualités professionnelles existe déjà et la jurisprudence a précisé que l’ordre des critères tel que fixé par la loi ne s’imposait pas à l’employeur et qu’il avait la possibilité « de privilégier  le critère de la valeur professionnelle des salariés à condition de tenir compte de l’ensemble des autres critères »  (soc. 13 juin 1990) </w:t>
            </w:r>
          </w:p>
          <w:p w:rsidR="00656D9B" w:rsidRPr="00327ACF" w:rsidRDefault="00656D9B" w:rsidP="00B57CFE">
            <w:pPr>
              <w:autoSpaceDE w:val="0"/>
              <w:autoSpaceDN w:val="0"/>
              <w:adjustRightInd w:val="0"/>
              <w:spacing w:after="0" w:line="240" w:lineRule="auto"/>
              <w:rPr>
                <w:rFonts w:cs="Calibri"/>
                <w:color w:val="000000"/>
                <w:sz w:val="20"/>
                <w:szCs w:val="20"/>
              </w:rPr>
            </w:pPr>
            <w:r w:rsidRPr="00327ACF">
              <w:rPr>
                <w:rFonts w:cs="Calibri"/>
                <w:color w:val="000000"/>
                <w:sz w:val="20"/>
                <w:szCs w:val="20"/>
              </w:rPr>
              <w:t xml:space="preserve">L’art 15, I, du PL  ne fait ici que reprendre cette jurisprudence. </w:t>
            </w:r>
          </w:p>
          <w:p w:rsidR="00656D9B" w:rsidRPr="00327ACF" w:rsidRDefault="00656D9B" w:rsidP="00B57CFE">
            <w:pPr>
              <w:autoSpaceDE w:val="0"/>
              <w:autoSpaceDN w:val="0"/>
              <w:adjustRightInd w:val="0"/>
              <w:spacing w:after="0" w:line="240" w:lineRule="auto"/>
              <w:rPr>
                <w:rFonts w:cs="Calibri"/>
                <w:color w:val="000000"/>
                <w:sz w:val="20"/>
                <w:szCs w:val="20"/>
              </w:rPr>
            </w:pPr>
          </w:p>
          <w:p w:rsidR="00656D9B" w:rsidRPr="00327ACF" w:rsidRDefault="00656D9B" w:rsidP="00E72BB5">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Le passage de 9 à 12 mois s’agissant de la durée du c</w:t>
            </w:r>
            <w:r>
              <w:rPr>
                <w:rFonts w:cs="Calibri"/>
                <w:color w:val="000000"/>
                <w:sz w:val="20"/>
                <w:szCs w:val="20"/>
              </w:rPr>
              <w:t>ongé de reclassement est en soi</w:t>
            </w:r>
            <w:r w:rsidRPr="00327ACF">
              <w:rPr>
                <w:rFonts w:cs="Calibri"/>
                <w:color w:val="000000"/>
                <w:sz w:val="20"/>
                <w:szCs w:val="20"/>
              </w:rPr>
              <w:t xml:space="preserve"> positif mais il était déjà négocié par certaines de nos équipes syndicales dans les entreprises. </w:t>
            </w:r>
          </w:p>
          <w:p w:rsidR="00656D9B" w:rsidRPr="00327ACF" w:rsidRDefault="00656D9B" w:rsidP="00E72BB5">
            <w:pPr>
              <w:autoSpaceDE w:val="0"/>
              <w:autoSpaceDN w:val="0"/>
              <w:adjustRightInd w:val="0"/>
              <w:spacing w:after="0" w:line="240" w:lineRule="auto"/>
              <w:jc w:val="both"/>
              <w:rPr>
                <w:rFonts w:cs="Calibri"/>
                <w:color w:val="000000"/>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B57CFE">
            <w:pPr>
              <w:autoSpaceDE w:val="0"/>
              <w:autoSpaceDN w:val="0"/>
              <w:adjustRightInd w:val="0"/>
              <w:spacing w:after="0" w:line="240" w:lineRule="auto"/>
              <w:rPr>
                <w:rFonts w:cs="Calibri"/>
                <w:color w:val="000000"/>
                <w:sz w:val="20"/>
                <w:szCs w:val="20"/>
              </w:rPr>
            </w:pPr>
          </w:p>
        </w:tc>
      </w:tr>
      <w:tr w:rsidR="00656D9B" w:rsidRPr="00327ACF" w:rsidTr="00E0775E">
        <w:trPr>
          <w:trHeight w:val="1325"/>
        </w:trPr>
        <w:tc>
          <w:tcPr>
            <w:tcW w:w="542" w:type="pct"/>
            <w:tcBorders>
              <w:top w:val="single" w:sz="6" w:space="0" w:color="auto"/>
              <w:left w:val="single" w:sz="4" w:space="0" w:color="auto"/>
              <w:bottom w:val="single" w:sz="6" w:space="0" w:color="auto"/>
              <w:right w:val="single" w:sz="6" w:space="0" w:color="auto"/>
            </w:tcBorders>
            <w:shd w:val="clear" w:color="auto" w:fill="DBE5F1"/>
          </w:tcPr>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 xml:space="preserve">Art 16 </w:t>
            </w: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 xml:space="preserve">Conciliation </w:t>
            </w: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 xml:space="preserve">et prescription </w:t>
            </w: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55</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5C02DB">
            <w:pPr>
              <w:pStyle w:val="Paragraphedeliste"/>
              <w:numPr>
                <w:ilvl w:val="0"/>
                <w:numId w:val="20"/>
              </w:numPr>
              <w:autoSpaceDE w:val="0"/>
              <w:autoSpaceDN w:val="0"/>
              <w:adjustRightInd w:val="0"/>
              <w:spacing w:after="0" w:line="240" w:lineRule="auto"/>
              <w:rPr>
                <w:rFonts w:cs="Calibri"/>
                <w:color w:val="000000"/>
                <w:sz w:val="20"/>
                <w:szCs w:val="20"/>
              </w:rPr>
            </w:pPr>
            <w:r w:rsidRPr="00327ACF">
              <w:rPr>
                <w:rFonts w:cs="Calibri"/>
                <w:color w:val="000000"/>
                <w:sz w:val="20"/>
                <w:szCs w:val="20"/>
              </w:rPr>
              <w:t xml:space="preserve">La conciliation </w:t>
            </w:r>
          </w:p>
          <w:p w:rsidR="00656D9B" w:rsidRPr="00327ACF" w:rsidRDefault="00656D9B" w:rsidP="003E6E74">
            <w:pPr>
              <w:autoSpaceDE w:val="0"/>
              <w:autoSpaceDN w:val="0"/>
              <w:adjustRightInd w:val="0"/>
              <w:spacing w:after="0" w:line="240" w:lineRule="auto"/>
              <w:ind w:left="360"/>
              <w:rPr>
                <w:rFonts w:cs="Calibri"/>
                <w:color w:val="000000"/>
                <w:sz w:val="20"/>
                <w:szCs w:val="20"/>
              </w:rPr>
            </w:pPr>
          </w:p>
          <w:p w:rsidR="00656D9B" w:rsidRPr="00327ACF" w:rsidRDefault="00656D9B" w:rsidP="00B57CFE">
            <w:pPr>
              <w:autoSpaceDE w:val="0"/>
              <w:autoSpaceDN w:val="0"/>
              <w:adjustRightInd w:val="0"/>
              <w:spacing w:after="0" w:line="240" w:lineRule="auto"/>
              <w:rPr>
                <w:rFonts w:cs="Calibri"/>
                <w:color w:val="000000"/>
                <w:sz w:val="20"/>
                <w:szCs w:val="20"/>
              </w:rPr>
            </w:pPr>
            <w:r w:rsidRPr="00327ACF">
              <w:rPr>
                <w:rFonts w:cs="Calibri"/>
                <w:color w:val="000000"/>
                <w:sz w:val="20"/>
                <w:szCs w:val="20"/>
              </w:rPr>
              <w:t xml:space="preserve">Cette disposition n’a aucune chance de favoriser la conciliation. Pour ce faire le défaut de présence d’une des parties devrait être sanctionné par la perte du procès. En effet, pour avoir ne serait-ce qu’une chance de concilier encore faut –il être deux ! </w:t>
            </w:r>
          </w:p>
          <w:p w:rsidR="00656D9B" w:rsidRPr="00327ACF" w:rsidRDefault="00656D9B" w:rsidP="00CF2003">
            <w:pPr>
              <w:autoSpaceDE w:val="0"/>
              <w:autoSpaceDN w:val="0"/>
              <w:adjustRightInd w:val="0"/>
              <w:spacing w:after="0" w:line="240" w:lineRule="auto"/>
              <w:jc w:val="both"/>
              <w:rPr>
                <w:rFonts w:cs="Calibri"/>
                <w:color w:val="000000"/>
                <w:sz w:val="20"/>
                <w:szCs w:val="20"/>
              </w:rPr>
            </w:pPr>
          </w:p>
          <w:p w:rsidR="00656D9B" w:rsidRPr="00327ACF" w:rsidRDefault="00656D9B" w:rsidP="00CF2003">
            <w:pPr>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Sur l’étendue de ce que recouvre l’indemnité forfaitaire, </w:t>
            </w:r>
            <w:r w:rsidRPr="00327ACF">
              <w:rPr>
                <w:rFonts w:cs="Calibri"/>
                <w:b/>
                <w:color w:val="000000"/>
                <w:sz w:val="20"/>
                <w:szCs w:val="20"/>
              </w:rPr>
              <w:t xml:space="preserve">l’exposé des motifs </w:t>
            </w:r>
            <w:r w:rsidRPr="00327ACF">
              <w:rPr>
                <w:rFonts w:cs="Calibri"/>
                <w:color w:val="000000"/>
                <w:sz w:val="20"/>
                <w:szCs w:val="20"/>
              </w:rPr>
              <w:t>précise que ne sont pas concernées les indemnités de licenciement dues par l’employeur, ni les indemnités liées à des contentieux spécifiques (discrimination, harcèlement, inaptitude). Or</w:t>
            </w:r>
            <w:r w:rsidRPr="00327ACF">
              <w:rPr>
                <w:rFonts w:cs="Calibri"/>
                <w:b/>
                <w:color w:val="000000"/>
                <w:sz w:val="20"/>
                <w:szCs w:val="20"/>
              </w:rPr>
              <w:t xml:space="preserve">, le projet ne précise pas que l’indemnité forfaitaire couvre seulement les irrégularités de procédure et le défaut de cause réelle et sérieuse et qu’elle ne vise pas les indemnités de licenciement. De même, il n’est pas explicitement précisé que la discrimination, le harcèlement et l’inaptitude ne sont pas inclus dans l’indemnité forfaitaire. </w:t>
            </w:r>
          </w:p>
          <w:p w:rsidR="00656D9B" w:rsidRPr="00327ACF" w:rsidRDefault="00656D9B" w:rsidP="00CF2003">
            <w:pPr>
              <w:autoSpaceDE w:val="0"/>
              <w:autoSpaceDN w:val="0"/>
              <w:adjustRightInd w:val="0"/>
              <w:spacing w:after="0" w:line="240" w:lineRule="auto"/>
              <w:jc w:val="both"/>
              <w:rPr>
                <w:rFonts w:cs="Calibri"/>
                <w:b/>
                <w:color w:val="000000"/>
                <w:sz w:val="20"/>
                <w:szCs w:val="20"/>
              </w:rPr>
            </w:pPr>
          </w:p>
          <w:p w:rsidR="00656D9B" w:rsidRPr="00327ACF" w:rsidRDefault="00656D9B" w:rsidP="00CF2003">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Le principe d’une indemnité forfaitaire semble contrevenir à </w:t>
            </w:r>
            <w:r w:rsidRPr="00327ACF">
              <w:rPr>
                <w:rFonts w:cs="Calibri"/>
                <w:b/>
                <w:color w:val="000000"/>
                <w:sz w:val="20"/>
                <w:szCs w:val="20"/>
              </w:rPr>
              <w:t>l’article 10 de la convention 158 de l’OIT</w:t>
            </w:r>
            <w:r w:rsidRPr="00327ACF">
              <w:rPr>
                <w:rFonts w:cs="Calibri"/>
                <w:color w:val="000000"/>
                <w:sz w:val="20"/>
                <w:szCs w:val="20"/>
              </w:rPr>
              <w:t xml:space="preserve"> obligeant le versement d’une </w:t>
            </w:r>
            <w:r w:rsidRPr="00327ACF">
              <w:rPr>
                <w:rFonts w:cs="Calibri"/>
                <w:b/>
                <w:color w:val="000000"/>
                <w:sz w:val="20"/>
                <w:szCs w:val="20"/>
              </w:rPr>
              <w:t>indemnité adéquate</w:t>
            </w:r>
            <w:r w:rsidRPr="00327ACF">
              <w:rPr>
                <w:rFonts w:cs="Calibri"/>
                <w:color w:val="000000"/>
                <w:sz w:val="20"/>
                <w:szCs w:val="20"/>
              </w:rPr>
              <w:t xml:space="preserve"> ou toute autre forme de réparation considérée comme appropriée. Par ailleurs, cette </w:t>
            </w:r>
            <w:proofErr w:type="spellStart"/>
            <w:r w:rsidRPr="00327ACF">
              <w:rPr>
                <w:rFonts w:cs="Calibri"/>
                <w:color w:val="000000"/>
                <w:sz w:val="20"/>
                <w:szCs w:val="20"/>
              </w:rPr>
              <w:t>barêmisation</w:t>
            </w:r>
            <w:proofErr w:type="spellEnd"/>
            <w:r w:rsidRPr="00327ACF">
              <w:rPr>
                <w:rFonts w:cs="Calibri"/>
                <w:color w:val="000000"/>
                <w:sz w:val="20"/>
                <w:szCs w:val="20"/>
              </w:rPr>
              <w:t xml:space="preserve"> forfaitaire cantonne l’office du juge à un simple enregistrement or le préjudice du salarié ne dépend pas seulement de son ancienneté. Ainsi l’office du juge et les principes du procès équitable sont remis en cause. A terme, le risque est aussi que le barème devienne une référence également en bureau de jugement. </w:t>
            </w:r>
          </w:p>
          <w:p w:rsidR="00656D9B" w:rsidRPr="00327ACF" w:rsidRDefault="00656D9B" w:rsidP="00CF2003">
            <w:pPr>
              <w:autoSpaceDE w:val="0"/>
              <w:autoSpaceDN w:val="0"/>
              <w:adjustRightInd w:val="0"/>
              <w:spacing w:after="0" w:line="240" w:lineRule="auto"/>
              <w:jc w:val="both"/>
              <w:rPr>
                <w:rFonts w:cs="Calibri"/>
                <w:color w:val="000000"/>
                <w:sz w:val="20"/>
                <w:szCs w:val="20"/>
              </w:rPr>
            </w:pPr>
          </w:p>
          <w:p w:rsidR="00656D9B" w:rsidRPr="00327ACF" w:rsidRDefault="00656D9B" w:rsidP="005C02DB">
            <w:pPr>
              <w:pStyle w:val="Paragraphedeliste"/>
              <w:numPr>
                <w:ilvl w:val="0"/>
                <w:numId w:val="20"/>
              </w:num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Les prescriptions </w:t>
            </w:r>
          </w:p>
          <w:p w:rsidR="00656D9B" w:rsidRPr="00327ACF" w:rsidRDefault="00656D9B" w:rsidP="008C162F">
            <w:pPr>
              <w:pStyle w:val="Paragraphedeliste"/>
              <w:autoSpaceDE w:val="0"/>
              <w:autoSpaceDN w:val="0"/>
              <w:adjustRightInd w:val="0"/>
              <w:spacing w:after="0" w:line="240" w:lineRule="auto"/>
              <w:jc w:val="both"/>
              <w:rPr>
                <w:rFonts w:cs="Calibri"/>
                <w:color w:val="000000"/>
                <w:sz w:val="20"/>
                <w:szCs w:val="20"/>
              </w:rPr>
            </w:pPr>
          </w:p>
          <w:p w:rsidR="00656D9B" w:rsidRPr="00327ACF" w:rsidRDefault="00656D9B" w:rsidP="00B3703D">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Par dérogation au droit commun, le projet de loi institue </w:t>
            </w:r>
            <w:r w:rsidRPr="00327ACF">
              <w:rPr>
                <w:rFonts w:cs="Calibri"/>
                <w:b/>
                <w:color w:val="000000"/>
                <w:sz w:val="20"/>
                <w:szCs w:val="20"/>
              </w:rPr>
              <w:t>une prescription extinctive des créances de salaires à 3 ans</w:t>
            </w:r>
            <w:r w:rsidRPr="00327ACF">
              <w:rPr>
                <w:rFonts w:cs="Calibri"/>
                <w:color w:val="000000"/>
                <w:sz w:val="20"/>
                <w:szCs w:val="20"/>
              </w:rPr>
              <w:t>. Alors que</w:t>
            </w:r>
            <w:r>
              <w:rPr>
                <w:rFonts w:cs="Calibri"/>
                <w:color w:val="000000"/>
                <w:sz w:val="20"/>
                <w:szCs w:val="20"/>
              </w:rPr>
              <w:t xml:space="preserve"> ce sont</w:t>
            </w:r>
            <w:r w:rsidRPr="00327ACF">
              <w:rPr>
                <w:rFonts w:cs="Calibri"/>
                <w:color w:val="000000"/>
                <w:sz w:val="20"/>
                <w:szCs w:val="20"/>
              </w:rPr>
              <w:t xml:space="preserve"> des litiges dont l’enjeu est la protection de la dignité du salarié il est inacceptable qu’ils soient soumis à une prescription aussi courte. Pourquoi de manière plus générale, tous les litiges tendant à la sauvegarde d’un droit fondamental du salarié, tel que le droit à rappel de salaire dès lors ne sont-ils pas exclus? Par ailleurs, très peu de salariés ont la possibilité de saisir les prud’hommes pendant leur relation de travail. Or, en obligeant le salarié à agir pendant son  contrat de travail, le projet de loi aboutit à faire renoncer le salarié à ses droits.</w:t>
            </w:r>
          </w:p>
          <w:p w:rsidR="00656D9B" w:rsidRPr="00327ACF" w:rsidRDefault="00656D9B" w:rsidP="00B3703D">
            <w:pPr>
              <w:autoSpaceDE w:val="0"/>
              <w:autoSpaceDN w:val="0"/>
              <w:adjustRightInd w:val="0"/>
              <w:spacing w:after="0" w:line="240" w:lineRule="auto"/>
              <w:jc w:val="both"/>
              <w:rPr>
                <w:rFonts w:cs="Calibri"/>
                <w:color w:val="000000"/>
                <w:sz w:val="20"/>
                <w:szCs w:val="20"/>
              </w:rPr>
            </w:pPr>
          </w:p>
          <w:p w:rsidR="00656D9B" w:rsidRPr="00327ACF" w:rsidRDefault="00656D9B" w:rsidP="00B3703D">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Même si  le </w:t>
            </w:r>
            <w:r w:rsidRPr="00327ACF">
              <w:rPr>
                <w:rFonts w:cs="Calibri"/>
                <w:b/>
                <w:color w:val="000000"/>
                <w:sz w:val="20"/>
                <w:szCs w:val="20"/>
              </w:rPr>
              <w:t>délai de forclusion  de deux ans</w:t>
            </w:r>
            <w:r w:rsidRPr="00327ACF">
              <w:rPr>
                <w:rFonts w:cs="Calibri"/>
                <w:color w:val="000000"/>
                <w:sz w:val="20"/>
                <w:szCs w:val="20"/>
              </w:rPr>
              <w:t xml:space="preserve"> ne s’applique pas en matière de discrimination, harcèlement et accident du travail, se pose la question de la conformité de ce délai, étant donné sa </w:t>
            </w:r>
            <w:r w:rsidRPr="00327ACF">
              <w:rPr>
                <w:rFonts w:cs="Calibri"/>
                <w:b/>
                <w:color w:val="000000"/>
                <w:sz w:val="20"/>
                <w:szCs w:val="20"/>
              </w:rPr>
              <w:t>brièveté</w:t>
            </w:r>
            <w:r w:rsidRPr="00327ACF">
              <w:rPr>
                <w:rFonts w:cs="Calibri"/>
                <w:color w:val="000000"/>
                <w:sz w:val="20"/>
                <w:szCs w:val="20"/>
              </w:rPr>
              <w:t>, avec le droit effectif d’accès au juge.</w:t>
            </w:r>
          </w:p>
          <w:p w:rsidR="00656D9B" w:rsidRPr="00327ACF" w:rsidRDefault="00656D9B" w:rsidP="00B3703D">
            <w:pPr>
              <w:autoSpaceDE w:val="0"/>
              <w:autoSpaceDN w:val="0"/>
              <w:adjustRightInd w:val="0"/>
              <w:spacing w:after="0" w:line="240" w:lineRule="auto"/>
              <w:jc w:val="both"/>
              <w:rPr>
                <w:rFonts w:cs="Calibri"/>
                <w:color w:val="000000"/>
                <w:sz w:val="20"/>
                <w:szCs w:val="20"/>
              </w:rPr>
            </w:pPr>
          </w:p>
          <w:p w:rsidR="00656D9B" w:rsidRPr="00327ACF" w:rsidRDefault="00656D9B" w:rsidP="00B57CFE">
            <w:pPr>
              <w:autoSpaceDE w:val="0"/>
              <w:autoSpaceDN w:val="0"/>
              <w:adjustRightInd w:val="0"/>
              <w:spacing w:after="0" w:line="240" w:lineRule="auto"/>
              <w:rPr>
                <w:rFonts w:cs="Calibri"/>
                <w:color w:val="000000"/>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696BED">
            <w:pPr>
              <w:autoSpaceDE w:val="0"/>
              <w:autoSpaceDN w:val="0"/>
              <w:adjustRightInd w:val="0"/>
              <w:spacing w:after="0" w:line="240" w:lineRule="auto"/>
              <w:rPr>
                <w:rFonts w:cs="Calibri"/>
                <w:color w:val="000000"/>
                <w:sz w:val="20"/>
                <w:szCs w:val="20"/>
              </w:rPr>
            </w:pPr>
          </w:p>
          <w:p w:rsidR="00656D9B" w:rsidRPr="00327ACF" w:rsidRDefault="00656D9B" w:rsidP="00696BED">
            <w:pPr>
              <w:autoSpaceDE w:val="0"/>
              <w:autoSpaceDN w:val="0"/>
              <w:adjustRightInd w:val="0"/>
              <w:spacing w:after="0" w:line="240" w:lineRule="auto"/>
              <w:rPr>
                <w:rFonts w:cs="Calibri"/>
                <w:color w:val="000000"/>
                <w:sz w:val="20"/>
                <w:szCs w:val="20"/>
              </w:rPr>
            </w:pPr>
          </w:p>
          <w:p w:rsidR="00656D9B" w:rsidRPr="00327ACF" w:rsidRDefault="00656D9B" w:rsidP="00696BED">
            <w:pPr>
              <w:autoSpaceDE w:val="0"/>
              <w:autoSpaceDN w:val="0"/>
              <w:adjustRightInd w:val="0"/>
              <w:spacing w:after="0" w:line="240" w:lineRule="auto"/>
              <w:rPr>
                <w:rFonts w:cs="Calibri"/>
                <w:color w:val="000000"/>
                <w:sz w:val="20"/>
                <w:szCs w:val="20"/>
              </w:rPr>
            </w:pPr>
          </w:p>
        </w:tc>
      </w:tr>
      <w:tr w:rsidR="00656D9B" w:rsidRPr="00327ACF" w:rsidTr="00E0775E">
        <w:trPr>
          <w:trHeight w:val="1325"/>
        </w:trPr>
        <w:tc>
          <w:tcPr>
            <w:tcW w:w="542" w:type="pct"/>
            <w:tcBorders>
              <w:top w:val="single" w:sz="6" w:space="0" w:color="auto"/>
              <w:left w:val="single" w:sz="4" w:space="0" w:color="auto"/>
              <w:bottom w:val="single" w:sz="6" w:space="0" w:color="auto"/>
              <w:right w:val="single" w:sz="6" w:space="0" w:color="auto"/>
            </w:tcBorders>
            <w:shd w:val="clear" w:color="auto" w:fill="DBE5F1"/>
          </w:tcPr>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17</w:t>
            </w: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rsidP="00A85AB3">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 xml:space="preserve">Mise en œuvre </w:t>
            </w:r>
          </w:p>
          <w:p w:rsidR="00656D9B" w:rsidRPr="00327ACF" w:rsidRDefault="00656D9B" w:rsidP="00A85AB3">
            <w:pPr>
              <w:autoSpaceDE w:val="0"/>
              <w:autoSpaceDN w:val="0"/>
              <w:adjustRightInd w:val="0"/>
              <w:spacing w:after="0" w:line="240" w:lineRule="auto"/>
              <w:jc w:val="center"/>
              <w:rPr>
                <w:rFonts w:cs="Calibri"/>
                <w:b/>
                <w:bCs/>
                <w:color w:val="000000"/>
                <w:sz w:val="20"/>
                <w:szCs w:val="20"/>
              </w:rPr>
            </w:pPr>
          </w:p>
          <w:p w:rsidR="00656D9B" w:rsidRPr="00327ACF" w:rsidRDefault="00656D9B" w:rsidP="00A85AB3">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56</w:t>
            </w:r>
          </w:p>
        </w:tc>
        <w:tc>
          <w:tcPr>
            <w:tcW w:w="3481" w:type="pct"/>
            <w:tcBorders>
              <w:top w:val="single" w:sz="6" w:space="0" w:color="auto"/>
              <w:left w:val="single" w:sz="6" w:space="0" w:color="auto"/>
              <w:bottom w:val="single" w:sz="6" w:space="0" w:color="auto"/>
              <w:right w:val="single" w:sz="4" w:space="0" w:color="auto"/>
            </w:tcBorders>
          </w:tcPr>
          <w:p w:rsidR="00656D9B" w:rsidRPr="00327ACF" w:rsidRDefault="00656D9B" w:rsidP="00BB009D">
            <w:pPr>
              <w:autoSpaceDE w:val="0"/>
              <w:autoSpaceDN w:val="0"/>
              <w:adjustRightInd w:val="0"/>
              <w:spacing w:after="0" w:line="240" w:lineRule="auto"/>
              <w:jc w:val="both"/>
              <w:rPr>
                <w:rFonts w:cs="Calibri"/>
                <w:color w:val="000000"/>
                <w:sz w:val="20"/>
                <w:szCs w:val="20"/>
              </w:rPr>
            </w:pPr>
          </w:p>
          <w:p w:rsidR="00656D9B" w:rsidRPr="00327ACF" w:rsidRDefault="00656D9B" w:rsidP="00BB009D">
            <w:pPr>
              <w:autoSpaceDE w:val="0"/>
              <w:autoSpaceDN w:val="0"/>
              <w:adjustRightInd w:val="0"/>
              <w:spacing w:after="0" w:line="240" w:lineRule="auto"/>
              <w:jc w:val="both"/>
              <w:rPr>
                <w:rFonts w:cs="Calibri"/>
                <w:b/>
                <w:color w:val="000000"/>
                <w:sz w:val="20"/>
                <w:szCs w:val="20"/>
              </w:rPr>
            </w:pPr>
            <w:r w:rsidRPr="00327ACF">
              <w:rPr>
                <w:rFonts w:cs="Calibri"/>
                <w:color w:val="000000"/>
                <w:sz w:val="20"/>
                <w:szCs w:val="20"/>
              </w:rPr>
              <w:t xml:space="preserve">Délai supplémentaire pour organiser les élections CE et remplir ces obligations d’information consultation en cas de franchissement de seuil. Il y aura donc un délai qui va s’écouler entre l’élection des membres </w:t>
            </w:r>
            <w:proofErr w:type="gramStart"/>
            <w:r w:rsidRPr="00327ACF">
              <w:rPr>
                <w:rFonts w:cs="Calibri"/>
                <w:color w:val="000000"/>
                <w:sz w:val="20"/>
                <w:szCs w:val="20"/>
              </w:rPr>
              <w:t>du</w:t>
            </w:r>
            <w:proofErr w:type="gramEnd"/>
            <w:r w:rsidRPr="00327ACF">
              <w:rPr>
                <w:rFonts w:cs="Calibri"/>
                <w:color w:val="000000"/>
                <w:sz w:val="20"/>
                <w:szCs w:val="20"/>
              </w:rPr>
              <w:t xml:space="preserve"> CE et l’exercice des attributions du comité d’entreprise. </w:t>
            </w:r>
            <w:r w:rsidRPr="00327ACF">
              <w:rPr>
                <w:rFonts w:cs="Calibri"/>
                <w:b/>
                <w:color w:val="000000"/>
                <w:sz w:val="20"/>
                <w:szCs w:val="20"/>
              </w:rPr>
              <w:t xml:space="preserve">Les membres </w:t>
            </w:r>
            <w:proofErr w:type="gramStart"/>
            <w:r w:rsidRPr="00327ACF">
              <w:rPr>
                <w:rFonts w:cs="Calibri"/>
                <w:b/>
                <w:color w:val="000000"/>
                <w:sz w:val="20"/>
                <w:szCs w:val="20"/>
              </w:rPr>
              <w:t>du</w:t>
            </w:r>
            <w:proofErr w:type="gramEnd"/>
            <w:r w:rsidRPr="00327ACF">
              <w:rPr>
                <w:rFonts w:cs="Calibri"/>
                <w:b/>
                <w:color w:val="000000"/>
                <w:sz w:val="20"/>
                <w:szCs w:val="20"/>
              </w:rPr>
              <w:t xml:space="preserve"> CE seront élus mais ne pourront pas exercer leur mandat ! </w:t>
            </w:r>
          </w:p>
          <w:p w:rsidR="00656D9B" w:rsidRPr="00327ACF" w:rsidRDefault="00656D9B" w:rsidP="00BB009D">
            <w:pPr>
              <w:autoSpaceDE w:val="0"/>
              <w:autoSpaceDN w:val="0"/>
              <w:adjustRightInd w:val="0"/>
              <w:spacing w:after="0" w:line="240" w:lineRule="auto"/>
              <w:jc w:val="both"/>
              <w:rPr>
                <w:rFonts w:cs="Calibri"/>
                <w:color w:val="000000"/>
                <w:sz w:val="20"/>
                <w:szCs w:val="20"/>
              </w:rPr>
            </w:pPr>
          </w:p>
          <w:p w:rsidR="00656D9B" w:rsidRPr="00327ACF" w:rsidRDefault="00656D9B" w:rsidP="00096827">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A l’heure où le gouvernement envisage une constitutionnalisation du dialogue social nous ne pouvons que constater que cet article  diminue la portée du dialogue social dans les entreprises en organisant un délai supplémentaire d’un an aux réunions du comité d’entreprise et cela sans fondement légitime et en contradiction avec le droit constitutionnel de participation des travailleurs, par l’intermédiaire de ses délégués, à la détermination collective des conditions de travail ainsi qu’à la gestion des entreprises (al.8 du préambule de la constitution).</w:t>
            </w:r>
          </w:p>
          <w:p w:rsidR="00656D9B" w:rsidRPr="00327ACF" w:rsidRDefault="00656D9B" w:rsidP="000267F0">
            <w:pPr>
              <w:autoSpaceDE w:val="0"/>
              <w:autoSpaceDN w:val="0"/>
              <w:adjustRightInd w:val="0"/>
              <w:spacing w:after="0" w:line="240" w:lineRule="auto"/>
              <w:jc w:val="both"/>
              <w:rPr>
                <w:rFonts w:cs="Calibri"/>
                <w:color w:val="000000"/>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BB009D">
            <w:pPr>
              <w:autoSpaceDE w:val="0"/>
              <w:autoSpaceDN w:val="0"/>
              <w:adjustRightInd w:val="0"/>
              <w:spacing w:after="0" w:line="240" w:lineRule="auto"/>
              <w:jc w:val="both"/>
              <w:rPr>
                <w:rFonts w:cs="Calibri"/>
                <w:color w:val="000000"/>
                <w:sz w:val="20"/>
                <w:szCs w:val="20"/>
              </w:rPr>
            </w:pPr>
          </w:p>
        </w:tc>
      </w:tr>
      <w:tr w:rsidR="00656D9B" w:rsidRPr="00327ACF" w:rsidTr="00E0775E">
        <w:trPr>
          <w:trHeight w:val="1325"/>
        </w:trPr>
        <w:tc>
          <w:tcPr>
            <w:tcW w:w="542" w:type="pct"/>
            <w:tcBorders>
              <w:top w:val="single" w:sz="6" w:space="0" w:color="auto"/>
              <w:left w:val="single" w:sz="4" w:space="0" w:color="auto"/>
              <w:bottom w:val="single" w:sz="4" w:space="0" w:color="auto"/>
              <w:right w:val="single" w:sz="6" w:space="0" w:color="auto"/>
            </w:tcBorders>
            <w:shd w:val="clear" w:color="auto" w:fill="DBE5F1"/>
          </w:tcPr>
          <w:p w:rsidR="00656D9B" w:rsidRPr="00327ACF" w:rsidRDefault="00656D9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 xml:space="preserve"> </w:t>
            </w:r>
          </w:p>
          <w:p w:rsidR="00656D9B" w:rsidRPr="00327ACF" w:rsidRDefault="00656D9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Art 18</w:t>
            </w: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
                <w:bCs/>
                <w:color w:val="000000"/>
                <w:sz w:val="20"/>
                <w:szCs w:val="20"/>
              </w:rPr>
            </w:pPr>
            <w:r w:rsidRPr="00327ACF">
              <w:rPr>
                <w:rFonts w:cs="Calibri"/>
                <w:b/>
                <w:bCs/>
                <w:color w:val="000000"/>
                <w:sz w:val="20"/>
                <w:szCs w:val="20"/>
              </w:rPr>
              <w:t xml:space="preserve">Contrat de travail intermittent </w:t>
            </w:r>
          </w:p>
          <w:p w:rsidR="00656D9B" w:rsidRPr="00327ACF" w:rsidRDefault="00656D9B">
            <w:pPr>
              <w:autoSpaceDE w:val="0"/>
              <w:autoSpaceDN w:val="0"/>
              <w:adjustRightInd w:val="0"/>
              <w:spacing w:after="0" w:line="240" w:lineRule="auto"/>
              <w:jc w:val="center"/>
              <w:rPr>
                <w:rFonts w:cs="Calibri"/>
                <w:b/>
                <w:bCs/>
                <w:color w:val="000000"/>
                <w:sz w:val="20"/>
                <w:szCs w:val="20"/>
              </w:rPr>
            </w:pPr>
          </w:p>
          <w:p w:rsidR="00656D9B" w:rsidRPr="00327ACF" w:rsidRDefault="00656D9B">
            <w:pPr>
              <w:autoSpaceDE w:val="0"/>
              <w:autoSpaceDN w:val="0"/>
              <w:adjustRightInd w:val="0"/>
              <w:spacing w:after="0" w:line="240" w:lineRule="auto"/>
              <w:jc w:val="center"/>
              <w:rPr>
                <w:rFonts w:cs="Calibri"/>
                <w:bCs/>
                <w:color w:val="000000"/>
                <w:sz w:val="20"/>
                <w:szCs w:val="20"/>
              </w:rPr>
            </w:pPr>
            <w:r w:rsidRPr="00327ACF">
              <w:rPr>
                <w:rFonts w:cs="Calibri"/>
                <w:bCs/>
                <w:color w:val="000000"/>
                <w:sz w:val="20"/>
                <w:szCs w:val="20"/>
              </w:rPr>
              <w:t>Page 57</w:t>
            </w:r>
          </w:p>
        </w:tc>
        <w:tc>
          <w:tcPr>
            <w:tcW w:w="3481" w:type="pct"/>
            <w:tcBorders>
              <w:top w:val="single" w:sz="6" w:space="0" w:color="auto"/>
              <w:left w:val="single" w:sz="6" w:space="0" w:color="auto"/>
              <w:bottom w:val="single" w:sz="4" w:space="0" w:color="auto"/>
              <w:right w:val="single" w:sz="4" w:space="0" w:color="auto"/>
            </w:tcBorders>
          </w:tcPr>
          <w:p w:rsidR="00656D9B" w:rsidRPr="00327ACF" w:rsidRDefault="00656D9B" w:rsidP="00590862">
            <w:pPr>
              <w:autoSpaceDE w:val="0"/>
              <w:autoSpaceDN w:val="0"/>
              <w:adjustRightInd w:val="0"/>
              <w:spacing w:after="0" w:line="240" w:lineRule="auto"/>
              <w:rPr>
                <w:rFonts w:cs="Calibri"/>
                <w:color w:val="000000"/>
                <w:sz w:val="20"/>
                <w:szCs w:val="20"/>
              </w:rPr>
            </w:pPr>
            <w:r w:rsidRPr="00327ACF">
              <w:rPr>
                <w:rFonts w:cs="Calibri"/>
                <w:color w:val="000000"/>
                <w:sz w:val="20"/>
                <w:szCs w:val="20"/>
              </w:rPr>
              <w:t xml:space="preserve"> </w:t>
            </w:r>
          </w:p>
          <w:p w:rsidR="00656D9B" w:rsidRPr="00327ACF" w:rsidRDefault="00656D9B" w:rsidP="000267F0">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Au-delà des secteurs fixés par arrêté, il importe surtout de déterminer les emplois pour lesquels ces contrats très particuliers pourront être signés. </w:t>
            </w:r>
          </w:p>
          <w:p w:rsidR="00656D9B" w:rsidRPr="00327ACF" w:rsidRDefault="00656D9B" w:rsidP="00512484">
            <w:pPr>
              <w:autoSpaceDE w:val="0"/>
              <w:autoSpaceDN w:val="0"/>
              <w:adjustRightInd w:val="0"/>
              <w:spacing w:after="0" w:line="240" w:lineRule="auto"/>
              <w:rPr>
                <w:rFonts w:cs="Calibri"/>
                <w:color w:val="000000"/>
                <w:sz w:val="20"/>
                <w:szCs w:val="20"/>
              </w:rPr>
            </w:pPr>
          </w:p>
          <w:p w:rsidR="00656D9B" w:rsidRPr="00327ACF" w:rsidRDefault="00656D9B" w:rsidP="000267F0">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En effet, ce type de contrat ne doit être mis en œuvre que pour des emplois permanents qui, par nature, comportent une telle alternance de périodes travaillées et non travaillées. </w:t>
            </w:r>
          </w:p>
          <w:p w:rsidR="00656D9B" w:rsidRPr="00327ACF" w:rsidRDefault="00656D9B" w:rsidP="00512484">
            <w:pPr>
              <w:autoSpaceDE w:val="0"/>
              <w:autoSpaceDN w:val="0"/>
              <w:adjustRightInd w:val="0"/>
              <w:spacing w:after="0" w:line="240" w:lineRule="auto"/>
              <w:rPr>
                <w:rFonts w:cs="Calibri"/>
                <w:color w:val="000000"/>
                <w:sz w:val="20"/>
                <w:szCs w:val="20"/>
              </w:rPr>
            </w:pPr>
          </w:p>
          <w:p w:rsidR="00656D9B" w:rsidRPr="00327ACF" w:rsidRDefault="00656D9B" w:rsidP="00A85AB3">
            <w:pPr>
              <w:autoSpaceDE w:val="0"/>
              <w:autoSpaceDN w:val="0"/>
              <w:adjustRightInd w:val="0"/>
              <w:spacing w:after="0" w:line="240" w:lineRule="auto"/>
              <w:jc w:val="both"/>
              <w:rPr>
                <w:rFonts w:cs="Calibri"/>
                <w:color w:val="000000"/>
                <w:sz w:val="20"/>
                <w:szCs w:val="20"/>
              </w:rPr>
            </w:pPr>
            <w:r w:rsidRPr="00327ACF">
              <w:rPr>
                <w:rFonts w:cs="Calibri"/>
                <w:color w:val="000000"/>
                <w:sz w:val="20"/>
                <w:szCs w:val="20"/>
              </w:rPr>
              <w:t xml:space="preserve">Il importe donc de déterminer, outre les secteurs autorisés à déroger à l’exigence d’un accord d’entreprise ou de branche, les emplois qui, dans ces secteurs, comportent par nature une alternance de périodes travaillées et non travaillées. </w:t>
            </w:r>
          </w:p>
          <w:p w:rsidR="00656D9B" w:rsidRPr="00327ACF" w:rsidRDefault="00656D9B" w:rsidP="00512484">
            <w:pPr>
              <w:autoSpaceDE w:val="0"/>
              <w:autoSpaceDN w:val="0"/>
              <w:adjustRightInd w:val="0"/>
              <w:spacing w:after="0" w:line="240" w:lineRule="auto"/>
              <w:rPr>
                <w:rFonts w:cs="Calibri"/>
                <w:color w:val="000000"/>
                <w:sz w:val="20"/>
                <w:szCs w:val="20"/>
              </w:rPr>
            </w:pPr>
          </w:p>
        </w:tc>
        <w:tc>
          <w:tcPr>
            <w:tcW w:w="977" w:type="pct"/>
            <w:tcBorders>
              <w:top w:val="single" w:sz="6" w:space="0" w:color="auto"/>
              <w:left w:val="single" w:sz="4" w:space="0" w:color="auto"/>
              <w:bottom w:val="single" w:sz="6" w:space="0" w:color="auto"/>
            </w:tcBorders>
          </w:tcPr>
          <w:p w:rsidR="00656D9B" w:rsidRPr="00327ACF" w:rsidRDefault="00656D9B" w:rsidP="00590862">
            <w:pPr>
              <w:autoSpaceDE w:val="0"/>
              <w:autoSpaceDN w:val="0"/>
              <w:adjustRightInd w:val="0"/>
              <w:spacing w:after="0" w:line="240" w:lineRule="auto"/>
              <w:rPr>
                <w:rFonts w:cs="Calibri"/>
                <w:color w:val="000000"/>
                <w:sz w:val="20"/>
                <w:szCs w:val="20"/>
              </w:rPr>
            </w:pPr>
          </w:p>
        </w:tc>
      </w:tr>
    </w:tbl>
    <w:p w:rsidR="00656D9B" w:rsidRPr="00B57219" w:rsidRDefault="00656D9B">
      <w:pPr>
        <w:rPr>
          <w:sz w:val="20"/>
          <w:szCs w:val="20"/>
        </w:rPr>
      </w:pPr>
    </w:p>
    <w:sectPr w:rsidR="00656D9B" w:rsidRPr="00B57219" w:rsidSect="00BB053C">
      <w:headerReference w:type="default" r:id="rId8"/>
      <w:footerReference w:type="default" r:id="rId9"/>
      <w:pgSz w:w="16838" w:h="11906" w:orient="landscape"/>
      <w:pgMar w:top="851" w:right="1417" w:bottom="113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F34" w:rsidRDefault="00C76F34" w:rsidP="00202F6F">
      <w:pPr>
        <w:spacing w:after="0" w:line="240" w:lineRule="auto"/>
      </w:pPr>
      <w:r>
        <w:separator/>
      </w:r>
    </w:p>
  </w:endnote>
  <w:endnote w:type="continuationSeparator" w:id="0">
    <w:p w:rsidR="00C76F34" w:rsidRDefault="00C76F34" w:rsidP="00202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9B" w:rsidRDefault="00656D9B" w:rsidP="00327ACF">
    <w:pPr>
      <w:pStyle w:val="Pieddepage"/>
      <w:pBdr>
        <w:top w:val="thinThickSmallGap" w:sz="24" w:space="1" w:color="622423"/>
      </w:pBdr>
      <w:tabs>
        <w:tab w:val="clear" w:pos="4536"/>
        <w:tab w:val="clear" w:pos="9072"/>
        <w:tab w:val="right" w:pos="14004"/>
      </w:tabs>
      <w:rPr>
        <w:rFonts w:ascii="Cambria" w:hAnsi="Cambria"/>
      </w:rPr>
    </w:pPr>
    <w:r>
      <w:rPr>
        <w:rFonts w:ascii="Cambria" w:hAnsi="Cambria"/>
      </w:rPr>
      <w:t>Confédération FORCE OUVRIERE /  21 mars 2013</w:t>
    </w:r>
    <w:r>
      <w:rPr>
        <w:rFonts w:ascii="Cambria" w:hAnsi="Cambria"/>
      </w:rPr>
      <w:tab/>
      <w:t xml:space="preserve">Page </w:t>
    </w:r>
    <w:fldSimple w:instr="PAGE   \* MERGEFORMAT">
      <w:r w:rsidR="00D9421D" w:rsidRPr="00D9421D">
        <w:rPr>
          <w:rFonts w:ascii="Cambria" w:hAnsi="Cambria"/>
          <w:noProof/>
        </w:rPr>
        <w:t>1</w:t>
      </w:r>
    </w:fldSimple>
  </w:p>
  <w:p w:rsidR="00656D9B" w:rsidRDefault="00656D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F34" w:rsidRDefault="00C76F34" w:rsidP="00202F6F">
      <w:pPr>
        <w:spacing w:after="0" w:line="240" w:lineRule="auto"/>
      </w:pPr>
      <w:r>
        <w:separator/>
      </w:r>
    </w:p>
  </w:footnote>
  <w:footnote w:type="continuationSeparator" w:id="0">
    <w:p w:rsidR="00C76F34" w:rsidRDefault="00C76F34" w:rsidP="00202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9B" w:rsidRDefault="00656D9B">
    <w:pPr>
      <w:pStyle w:val="En-tte"/>
      <w:pBdr>
        <w:bottom w:val="thickThinSmallGap" w:sz="24" w:space="1" w:color="622423"/>
      </w:pBdr>
      <w:jc w:val="center"/>
      <w:rPr>
        <w:rFonts w:ascii="Cambria" w:hAnsi="Cambria"/>
        <w:sz w:val="32"/>
        <w:szCs w:val="32"/>
      </w:rPr>
    </w:pPr>
    <w:r w:rsidRPr="000C5139">
      <w:rPr>
        <w:rFonts w:ascii="Cambria" w:hAnsi="Cambria"/>
        <w:b/>
        <w:smallCaps/>
        <w:sz w:val="32"/>
        <w:szCs w:val="32"/>
      </w:rPr>
      <w:t xml:space="preserve">PROJET DE LOI </w:t>
    </w:r>
    <w:r>
      <w:rPr>
        <w:rFonts w:ascii="Cambria" w:hAnsi="Cambria"/>
        <w:b/>
        <w:smallCaps/>
        <w:sz w:val="32"/>
        <w:szCs w:val="32"/>
      </w:rPr>
      <w:t>« </w:t>
    </w:r>
    <w:r w:rsidRPr="000C5139">
      <w:rPr>
        <w:rFonts w:ascii="Cambria" w:hAnsi="Cambria"/>
        <w:b/>
        <w:smallCaps/>
        <w:sz w:val="32"/>
        <w:szCs w:val="32"/>
      </w:rPr>
      <w:t>SECURISATION DE L’EMPLOI</w:t>
    </w:r>
    <w:r>
      <w:rPr>
        <w:rFonts w:ascii="Cambria" w:hAnsi="Cambria"/>
        <w:b/>
        <w:smallCaps/>
        <w:sz w:val="32"/>
        <w:szCs w:val="32"/>
      </w:rPr>
      <w:t> »</w:t>
    </w:r>
    <w:r w:rsidRPr="000C5139">
      <w:rPr>
        <w:rFonts w:ascii="Cambria" w:hAnsi="Cambria"/>
        <w:b/>
        <w:smallCaps/>
        <w:sz w:val="32"/>
        <w:szCs w:val="32"/>
      </w:rPr>
      <w:t xml:space="preserve"> / LECTURE FO </w:t>
    </w:r>
  </w:p>
  <w:p w:rsidR="00656D9B" w:rsidRDefault="00656D9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D47"/>
    <w:multiLevelType w:val="hybridMultilevel"/>
    <w:tmpl w:val="12C68336"/>
    <w:lvl w:ilvl="0" w:tplc="475E30C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63D50"/>
    <w:multiLevelType w:val="hybridMultilevel"/>
    <w:tmpl w:val="E6EA5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76C43"/>
    <w:multiLevelType w:val="hybridMultilevel"/>
    <w:tmpl w:val="C6A2D2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D8567B9"/>
    <w:multiLevelType w:val="hybridMultilevel"/>
    <w:tmpl w:val="1248C3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F71506"/>
    <w:multiLevelType w:val="hybridMultilevel"/>
    <w:tmpl w:val="94E0EF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6AAE"/>
    <w:multiLevelType w:val="hybridMultilevel"/>
    <w:tmpl w:val="6C88F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210D33"/>
    <w:multiLevelType w:val="hybridMultilevel"/>
    <w:tmpl w:val="2D24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2A624A"/>
    <w:multiLevelType w:val="hybridMultilevel"/>
    <w:tmpl w:val="0A7A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A03778"/>
    <w:multiLevelType w:val="hybridMultilevel"/>
    <w:tmpl w:val="8FB0C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C31E2B"/>
    <w:multiLevelType w:val="hybridMultilevel"/>
    <w:tmpl w:val="DCE26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C73962"/>
    <w:multiLevelType w:val="hybridMultilevel"/>
    <w:tmpl w:val="1F706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D1392E"/>
    <w:multiLevelType w:val="hybridMultilevel"/>
    <w:tmpl w:val="D36C82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5C0576"/>
    <w:multiLevelType w:val="hybridMultilevel"/>
    <w:tmpl w:val="F6A81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BA76A7"/>
    <w:multiLevelType w:val="hybridMultilevel"/>
    <w:tmpl w:val="E22C57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D94BB1"/>
    <w:multiLevelType w:val="hybridMultilevel"/>
    <w:tmpl w:val="9184F9F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F71202B"/>
    <w:multiLevelType w:val="hybridMultilevel"/>
    <w:tmpl w:val="9A60F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451960"/>
    <w:multiLevelType w:val="hybridMultilevel"/>
    <w:tmpl w:val="D62E5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2E589C"/>
    <w:multiLevelType w:val="hybridMultilevel"/>
    <w:tmpl w:val="2CE22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3263F5"/>
    <w:multiLevelType w:val="hybridMultilevel"/>
    <w:tmpl w:val="D1880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85117A"/>
    <w:multiLevelType w:val="hybridMultilevel"/>
    <w:tmpl w:val="6DBAF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BA68F4"/>
    <w:multiLevelType w:val="hybridMultilevel"/>
    <w:tmpl w:val="64DCE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FE1B16"/>
    <w:multiLevelType w:val="hybridMultilevel"/>
    <w:tmpl w:val="A0927A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916AE1"/>
    <w:multiLevelType w:val="hybridMultilevel"/>
    <w:tmpl w:val="ECEA8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A4355B"/>
    <w:multiLevelType w:val="hybridMultilevel"/>
    <w:tmpl w:val="4442E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9"/>
  </w:num>
  <w:num w:numId="5">
    <w:abstractNumId w:val="10"/>
  </w:num>
  <w:num w:numId="6">
    <w:abstractNumId w:val="18"/>
  </w:num>
  <w:num w:numId="7">
    <w:abstractNumId w:val="11"/>
  </w:num>
  <w:num w:numId="8">
    <w:abstractNumId w:val="20"/>
  </w:num>
  <w:num w:numId="9">
    <w:abstractNumId w:val="21"/>
  </w:num>
  <w:num w:numId="10">
    <w:abstractNumId w:val="2"/>
  </w:num>
  <w:num w:numId="11">
    <w:abstractNumId w:val="22"/>
  </w:num>
  <w:num w:numId="12">
    <w:abstractNumId w:val="17"/>
  </w:num>
  <w:num w:numId="13">
    <w:abstractNumId w:val="9"/>
  </w:num>
  <w:num w:numId="14">
    <w:abstractNumId w:val="23"/>
  </w:num>
  <w:num w:numId="15">
    <w:abstractNumId w:val="15"/>
  </w:num>
  <w:num w:numId="16">
    <w:abstractNumId w:val="13"/>
  </w:num>
  <w:num w:numId="17">
    <w:abstractNumId w:val="8"/>
  </w:num>
  <w:num w:numId="18">
    <w:abstractNumId w:val="16"/>
  </w:num>
  <w:num w:numId="19">
    <w:abstractNumId w:val="1"/>
  </w:num>
  <w:num w:numId="20">
    <w:abstractNumId w:val="14"/>
  </w:num>
  <w:num w:numId="21">
    <w:abstractNumId w:val="7"/>
  </w:num>
  <w:num w:numId="22">
    <w:abstractNumId w:val="3"/>
  </w:num>
  <w:num w:numId="23">
    <w:abstractNumId w:val="6"/>
  </w:num>
  <w:num w:numId="24">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B0A"/>
    <w:rsid w:val="00016BFF"/>
    <w:rsid w:val="00016D8A"/>
    <w:rsid w:val="00017310"/>
    <w:rsid w:val="000267F0"/>
    <w:rsid w:val="00034DF3"/>
    <w:rsid w:val="00051419"/>
    <w:rsid w:val="00061F4D"/>
    <w:rsid w:val="000620C2"/>
    <w:rsid w:val="00066BFA"/>
    <w:rsid w:val="00073A04"/>
    <w:rsid w:val="00075662"/>
    <w:rsid w:val="000816FA"/>
    <w:rsid w:val="00083920"/>
    <w:rsid w:val="00087571"/>
    <w:rsid w:val="00096827"/>
    <w:rsid w:val="00097404"/>
    <w:rsid w:val="000A2B71"/>
    <w:rsid w:val="000A3DF6"/>
    <w:rsid w:val="000C1A6F"/>
    <w:rsid w:val="000C2463"/>
    <w:rsid w:val="000C2E8D"/>
    <w:rsid w:val="000C5139"/>
    <w:rsid w:val="000D0E17"/>
    <w:rsid w:val="000E47D9"/>
    <w:rsid w:val="000E6309"/>
    <w:rsid w:val="000E7112"/>
    <w:rsid w:val="000F0C33"/>
    <w:rsid w:val="000F7B2D"/>
    <w:rsid w:val="00102591"/>
    <w:rsid w:val="00104DAB"/>
    <w:rsid w:val="00113F85"/>
    <w:rsid w:val="00116209"/>
    <w:rsid w:val="00120180"/>
    <w:rsid w:val="0012108D"/>
    <w:rsid w:val="001233A4"/>
    <w:rsid w:val="001300C9"/>
    <w:rsid w:val="00141C2F"/>
    <w:rsid w:val="001568DC"/>
    <w:rsid w:val="00160E85"/>
    <w:rsid w:val="00176DC0"/>
    <w:rsid w:val="00177DFC"/>
    <w:rsid w:val="00180B33"/>
    <w:rsid w:val="00185CD1"/>
    <w:rsid w:val="001A0ED2"/>
    <w:rsid w:val="001A5BB8"/>
    <w:rsid w:val="001A7C04"/>
    <w:rsid w:val="001B256B"/>
    <w:rsid w:val="001B29B8"/>
    <w:rsid w:val="001D0F70"/>
    <w:rsid w:val="001E06F4"/>
    <w:rsid w:val="001E2D92"/>
    <w:rsid w:val="00202F6F"/>
    <w:rsid w:val="0021027D"/>
    <w:rsid w:val="00211691"/>
    <w:rsid w:val="00212F79"/>
    <w:rsid w:val="00214A20"/>
    <w:rsid w:val="00230D5F"/>
    <w:rsid w:val="00247805"/>
    <w:rsid w:val="0025562B"/>
    <w:rsid w:val="0027172D"/>
    <w:rsid w:val="002901BD"/>
    <w:rsid w:val="002B1ED3"/>
    <w:rsid w:val="002B6617"/>
    <w:rsid w:val="002B76F7"/>
    <w:rsid w:val="002D37F7"/>
    <w:rsid w:val="002D745F"/>
    <w:rsid w:val="002E6A9E"/>
    <w:rsid w:val="002F0785"/>
    <w:rsid w:val="00306632"/>
    <w:rsid w:val="003074EA"/>
    <w:rsid w:val="00310C3D"/>
    <w:rsid w:val="003118C4"/>
    <w:rsid w:val="00321CAB"/>
    <w:rsid w:val="00322E02"/>
    <w:rsid w:val="003271B1"/>
    <w:rsid w:val="00327ACF"/>
    <w:rsid w:val="00330EFE"/>
    <w:rsid w:val="0033695F"/>
    <w:rsid w:val="0034509A"/>
    <w:rsid w:val="00347A1C"/>
    <w:rsid w:val="00355F05"/>
    <w:rsid w:val="00364F5C"/>
    <w:rsid w:val="00380093"/>
    <w:rsid w:val="003921C0"/>
    <w:rsid w:val="003A0C22"/>
    <w:rsid w:val="003A2A84"/>
    <w:rsid w:val="003B22C9"/>
    <w:rsid w:val="003B52AD"/>
    <w:rsid w:val="003B7517"/>
    <w:rsid w:val="003C34E5"/>
    <w:rsid w:val="003D174D"/>
    <w:rsid w:val="003D3D7A"/>
    <w:rsid w:val="003E6E74"/>
    <w:rsid w:val="003F01C8"/>
    <w:rsid w:val="00403795"/>
    <w:rsid w:val="0041236E"/>
    <w:rsid w:val="00415FE4"/>
    <w:rsid w:val="004212DA"/>
    <w:rsid w:val="00422500"/>
    <w:rsid w:val="00430407"/>
    <w:rsid w:val="004338E4"/>
    <w:rsid w:val="00433E8C"/>
    <w:rsid w:val="00437608"/>
    <w:rsid w:val="0044014E"/>
    <w:rsid w:val="00446891"/>
    <w:rsid w:val="00467414"/>
    <w:rsid w:val="004704BC"/>
    <w:rsid w:val="00475540"/>
    <w:rsid w:val="00475544"/>
    <w:rsid w:val="004824F6"/>
    <w:rsid w:val="004902C8"/>
    <w:rsid w:val="00496951"/>
    <w:rsid w:val="004A1C9F"/>
    <w:rsid w:val="004A60BE"/>
    <w:rsid w:val="004B1457"/>
    <w:rsid w:val="004C3B38"/>
    <w:rsid w:val="004C5747"/>
    <w:rsid w:val="004C69B8"/>
    <w:rsid w:val="004D17DF"/>
    <w:rsid w:val="004F35F8"/>
    <w:rsid w:val="004F4F13"/>
    <w:rsid w:val="004F6896"/>
    <w:rsid w:val="004F7D97"/>
    <w:rsid w:val="00512484"/>
    <w:rsid w:val="00512647"/>
    <w:rsid w:val="00515725"/>
    <w:rsid w:val="00525BAB"/>
    <w:rsid w:val="00550146"/>
    <w:rsid w:val="00551F2F"/>
    <w:rsid w:val="00551F77"/>
    <w:rsid w:val="00552A92"/>
    <w:rsid w:val="005570D2"/>
    <w:rsid w:val="00560E1F"/>
    <w:rsid w:val="00572731"/>
    <w:rsid w:val="00574FAD"/>
    <w:rsid w:val="00582646"/>
    <w:rsid w:val="00590862"/>
    <w:rsid w:val="00595CD1"/>
    <w:rsid w:val="005963C2"/>
    <w:rsid w:val="005A74C0"/>
    <w:rsid w:val="005B0061"/>
    <w:rsid w:val="005B10F1"/>
    <w:rsid w:val="005B3E85"/>
    <w:rsid w:val="005B5B0A"/>
    <w:rsid w:val="005B72C0"/>
    <w:rsid w:val="005C02DB"/>
    <w:rsid w:val="005E048A"/>
    <w:rsid w:val="005E15AC"/>
    <w:rsid w:val="005E3CDA"/>
    <w:rsid w:val="005F13D6"/>
    <w:rsid w:val="005F1ADF"/>
    <w:rsid w:val="00601592"/>
    <w:rsid w:val="00617045"/>
    <w:rsid w:val="00632989"/>
    <w:rsid w:val="006374EA"/>
    <w:rsid w:val="00642C85"/>
    <w:rsid w:val="006475C2"/>
    <w:rsid w:val="00656D9B"/>
    <w:rsid w:val="00663639"/>
    <w:rsid w:val="00663F04"/>
    <w:rsid w:val="0066446A"/>
    <w:rsid w:val="00686358"/>
    <w:rsid w:val="00696BED"/>
    <w:rsid w:val="006A1DF8"/>
    <w:rsid w:val="006A3600"/>
    <w:rsid w:val="006A430A"/>
    <w:rsid w:val="006A62E0"/>
    <w:rsid w:val="006C74A0"/>
    <w:rsid w:val="006D1496"/>
    <w:rsid w:val="006D60B7"/>
    <w:rsid w:val="006D7D0A"/>
    <w:rsid w:val="006E7F46"/>
    <w:rsid w:val="006F08C9"/>
    <w:rsid w:val="006F0FFC"/>
    <w:rsid w:val="006F529C"/>
    <w:rsid w:val="00703291"/>
    <w:rsid w:val="00704264"/>
    <w:rsid w:val="00714983"/>
    <w:rsid w:val="00717694"/>
    <w:rsid w:val="00717ED8"/>
    <w:rsid w:val="007238F7"/>
    <w:rsid w:val="00740FD7"/>
    <w:rsid w:val="0074352E"/>
    <w:rsid w:val="0075322A"/>
    <w:rsid w:val="00762493"/>
    <w:rsid w:val="00772A50"/>
    <w:rsid w:val="00780D46"/>
    <w:rsid w:val="007833B4"/>
    <w:rsid w:val="00784D8B"/>
    <w:rsid w:val="00794EBF"/>
    <w:rsid w:val="00797739"/>
    <w:rsid w:val="007A154C"/>
    <w:rsid w:val="007A7F58"/>
    <w:rsid w:val="007B1169"/>
    <w:rsid w:val="007B3F52"/>
    <w:rsid w:val="007B6619"/>
    <w:rsid w:val="007D30D7"/>
    <w:rsid w:val="007D378F"/>
    <w:rsid w:val="007E269E"/>
    <w:rsid w:val="007E5F4A"/>
    <w:rsid w:val="007F0154"/>
    <w:rsid w:val="007F684E"/>
    <w:rsid w:val="00801021"/>
    <w:rsid w:val="008010CC"/>
    <w:rsid w:val="00802273"/>
    <w:rsid w:val="008053B7"/>
    <w:rsid w:val="00820287"/>
    <w:rsid w:val="00824E47"/>
    <w:rsid w:val="00835C9B"/>
    <w:rsid w:val="00842D44"/>
    <w:rsid w:val="008476C2"/>
    <w:rsid w:val="008504E4"/>
    <w:rsid w:val="008624A0"/>
    <w:rsid w:val="008645CE"/>
    <w:rsid w:val="0087297E"/>
    <w:rsid w:val="008737C9"/>
    <w:rsid w:val="00873CB9"/>
    <w:rsid w:val="00881B7A"/>
    <w:rsid w:val="00890AD5"/>
    <w:rsid w:val="008A572D"/>
    <w:rsid w:val="008C162F"/>
    <w:rsid w:val="008C2912"/>
    <w:rsid w:val="008C432D"/>
    <w:rsid w:val="008F2D84"/>
    <w:rsid w:val="00902017"/>
    <w:rsid w:val="00907F5E"/>
    <w:rsid w:val="009150E9"/>
    <w:rsid w:val="0092331D"/>
    <w:rsid w:val="00926883"/>
    <w:rsid w:val="00935D08"/>
    <w:rsid w:val="00942E2F"/>
    <w:rsid w:val="0094792C"/>
    <w:rsid w:val="009543FB"/>
    <w:rsid w:val="00967FE0"/>
    <w:rsid w:val="00975581"/>
    <w:rsid w:val="00982C98"/>
    <w:rsid w:val="00991193"/>
    <w:rsid w:val="00994127"/>
    <w:rsid w:val="009A5DDC"/>
    <w:rsid w:val="009A7D8E"/>
    <w:rsid w:val="009C3EB2"/>
    <w:rsid w:val="009C78F0"/>
    <w:rsid w:val="009D1C22"/>
    <w:rsid w:val="009D2003"/>
    <w:rsid w:val="009E24FC"/>
    <w:rsid w:val="009F00C4"/>
    <w:rsid w:val="009F057E"/>
    <w:rsid w:val="00A268D4"/>
    <w:rsid w:val="00A32880"/>
    <w:rsid w:val="00A32C0E"/>
    <w:rsid w:val="00A34D74"/>
    <w:rsid w:val="00A42F03"/>
    <w:rsid w:val="00A50CB5"/>
    <w:rsid w:val="00A559C5"/>
    <w:rsid w:val="00A570AA"/>
    <w:rsid w:val="00A66F8E"/>
    <w:rsid w:val="00A73E76"/>
    <w:rsid w:val="00A763D9"/>
    <w:rsid w:val="00A778AB"/>
    <w:rsid w:val="00A82183"/>
    <w:rsid w:val="00A85AB3"/>
    <w:rsid w:val="00A86F6E"/>
    <w:rsid w:val="00A87CCF"/>
    <w:rsid w:val="00A96C84"/>
    <w:rsid w:val="00A97172"/>
    <w:rsid w:val="00AA2D75"/>
    <w:rsid w:val="00AA6CF7"/>
    <w:rsid w:val="00AB06AD"/>
    <w:rsid w:val="00AB2AEC"/>
    <w:rsid w:val="00AB6A84"/>
    <w:rsid w:val="00AB6FBE"/>
    <w:rsid w:val="00AD33A7"/>
    <w:rsid w:val="00AE7312"/>
    <w:rsid w:val="00AF167A"/>
    <w:rsid w:val="00AF587D"/>
    <w:rsid w:val="00AF702A"/>
    <w:rsid w:val="00B20C44"/>
    <w:rsid w:val="00B23B87"/>
    <w:rsid w:val="00B27209"/>
    <w:rsid w:val="00B277F4"/>
    <w:rsid w:val="00B3703D"/>
    <w:rsid w:val="00B40A01"/>
    <w:rsid w:val="00B42A86"/>
    <w:rsid w:val="00B46603"/>
    <w:rsid w:val="00B5159B"/>
    <w:rsid w:val="00B53A64"/>
    <w:rsid w:val="00B546D0"/>
    <w:rsid w:val="00B54F32"/>
    <w:rsid w:val="00B57219"/>
    <w:rsid w:val="00B57CFE"/>
    <w:rsid w:val="00B81680"/>
    <w:rsid w:val="00B81CD9"/>
    <w:rsid w:val="00B847F4"/>
    <w:rsid w:val="00BB009D"/>
    <w:rsid w:val="00BB053C"/>
    <w:rsid w:val="00BB0A3C"/>
    <w:rsid w:val="00BC2637"/>
    <w:rsid w:val="00BD2EEC"/>
    <w:rsid w:val="00BF2063"/>
    <w:rsid w:val="00BF66F4"/>
    <w:rsid w:val="00C124B2"/>
    <w:rsid w:val="00C12F49"/>
    <w:rsid w:val="00C27AD7"/>
    <w:rsid w:val="00C330D8"/>
    <w:rsid w:val="00C4196E"/>
    <w:rsid w:val="00C4261E"/>
    <w:rsid w:val="00C665F6"/>
    <w:rsid w:val="00C71599"/>
    <w:rsid w:val="00C74A24"/>
    <w:rsid w:val="00C76F34"/>
    <w:rsid w:val="00C84E09"/>
    <w:rsid w:val="00CA6D6A"/>
    <w:rsid w:val="00CB0B1E"/>
    <w:rsid w:val="00CC10A9"/>
    <w:rsid w:val="00CC6058"/>
    <w:rsid w:val="00CD51D5"/>
    <w:rsid w:val="00CF2003"/>
    <w:rsid w:val="00CF790D"/>
    <w:rsid w:val="00CF7FCF"/>
    <w:rsid w:val="00D0118D"/>
    <w:rsid w:val="00D019E9"/>
    <w:rsid w:val="00D04442"/>
    <w:rsid w:val="00D04E52"/>
    <w:rsid w:val="00D055B8"/>
    <w:rsid w:val="00D15300"/>
    <w:rsid w:val="00D2397C"/>
    <w:rsid w:val="00D30300"/>
    <w:rsid w:val="00D320E2"/>
    <w:rsid w:val="00D36213"/>
    <w:rsid w:val="00D468AC"/>
    <w:rsid w:val="00D54C7E"/>
    <w:rsid w:val="00D617E6"/>
    <w:rsid w:val="00D641C4"/>
    <w:rsid w:val="00D65DF1"/>
    <w:rsid w:val="00D728AA"/>
    <w:rsid w:val="00D742FF"/>
    <w:rsid w:val="00D81C16"/>
    <w:rsid w:val="00D87F10"/>
    <w:rsid w:val="00D9111C"/>
    <w:rsid w:val="00D9421D"/>
    <w:rsid w:val="00DB18CF"/>
    <w:rsid w:val="00DB2874"/>
    <w:rsid w:val="00DC5EB7"/>
    <w:rsid w:val="00DC7A63"/>
    <w:rsid w:val="00DD6195"/>
    <w:rsid w:val="00DE3A28"/>
    <w:rsid w:val="00E06CCD"/>
    <w:rsid w:val="00E0775E"/>
    <w:rsid w:val="00E11C80"/>
    <w:rsid w:val="00E31005"/>
    <w:rsid w:val="00E32387"/>
    <w:rsid w:val="00E54D29"/>
    <w:rsid w:val="00E711B1"/>
    <w:rsid w:val="00E72BB5"/>
    <w:rsid w:val="00E77205"/>
    <w:rsid w:val="00E80D34"/>
    <w:rsid w:val="00EA288A"/>
    <w:rsid w:val="00EA58E5"/>
    <w:rsid w:val="00ED570F"/>
    <w:rsid w:val="00ED5B67"/>
    <w:rsid w:val="00EE7E9C"/>
    <w:rsid w:val="00EF147A"/>
    <w:rsid w:val="00F06FBD"/>
    <w:rsid w:val="00F075CF"/>
    <w:rsid w:val="00F129AB"/>
    <w:rsid w:val="00F25FB5"/>
    <w:rsid w:val="00F35521"/>
    <w:rsid w:val="00F41DB0"/>
    <w:rsid w:val="00F54C60"/>
    <w:rsid w:val="00F63839"/>
    <w:rsid w:val="00F63CB3"/>
    <w:rsid w:val="00F67DAC"/>
    <w:rsid w:val="00F732A8"/>
    <w:rsid w:val="00FA5414"/>
    <w:rsid w:val="00FB19D0"/>
    <w:rsid w:val="00FB4FA5"/>
    <w:rsid w:val="00FB5361"/>
    <w:rsid w:val="00FC55FC"/>
    <w:rsid w:val="00FC5E75"/>
    <w:rsid w:val="00FD1E79"/>
    <w:rsid w:val="00FE4A2D"/>
    <w:rsid w:val="00FF129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A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2F6F"/>
    <w:pPr>
      <w:tabs>
        <w:tab w:val="center" w:pos="4536"/>
        <w:tab w:val="right" w:pos="9072"/>
      </w:tabs>
      <w:spacing w:after="0" w:line="240" w:lineRule="auto"/>
    </w:pPr>
  </w:style>
  <w:style w:type="character" w:customStyle="1" w:styleId="En-tteCar">
    <w:name w:val="En-tête Car"/>
    <w:basedOn w:val="Policepardfaut"/>
    <w:link w:val="En-tte"/>
    <w:uiPriority w:val="99"/>
    <w:locked/>
    <w:rsid w:val="00202F6F"/>
    <w:rPr>
      <w:rFonts w:cs="Times New Roman"/>
    </w:rPr>
  </w:style>
  <w:style w:type="paragraph" w:styleId="Pieddepage">
    <w:name w:val="footer"/>
    <w:basedOn w:val="Normal"/>
    <w:link w:val="PieddepageCar"/>
    <w:uiPriority w:val="99"/>
    <w:rsid w:val="00202F6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02F6F"/>
    <w:rPr>
      <w:rFonts w:cs="Times New Roman"/>
    </w:rPr>
  </w:style>
  <w:style w:type="paragraph" w:styleId="Textedebulles">
    <w:name w:val="Balloon Text"/>
    <w:basedOn w:val="Normal"/>
    <w:link w:val="TextedebullesCar"/>
    <w:uiPriority w:val="99"/>
    <w:semiHidden/>
    <w:rsid w:val="00202F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02F6F"/>
    <w:rPr>
      <w:rFonts w:ascii="Tahoma" w:hAnsi="Tahoma" w:cs="Tahoma"/>
      <w:sz w:val="16"/>
      <w:szCs w:val="16"/>
    </w:rPr>
  </w:style>
  <w:style w:type="paragraph" w:styleId="Paragraphedeliste">
    <w:name w:val="List Paragraph"/>
    <w:basedOn w:val="Normal"/>
    <w:uiPriority w:val="99"/>
    <w:qFormat/>
    <w:rsid w:val="00703291"/>
    <w:pPr>
      <w:ind w:left="720"/>
      <w:contextualSpacing/>
    </w:pPr>
  </w:style>
  <w:style w:type="table" w:styleId="Grilledutableau">
    <w:name w:val="Table Grid"/>
    <w:basedOn w:val="TableauNormal"/>
    <w:uiPriority w:val="99"/>
    <w:rsid w:val="00121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019130">
      <w:marLeft w:val="0"/>
      <w:marRight w:val="0"/>
      <w:marTop w:val="0"/>
      <w:marBottom w:val="0"/>
      <w:divBdr>
        <w:top w:val="none" w:sz="0" w:space="0" w:color="auto"/>
        <w:left w:val="none" w:sz="0" w:space="0" w:color="auto"/>
        <w:bottom w:val="none" w:sz="0" w:space="0" w:color="auto"/>
        <w:right w:val="none" w:sz="0" w:space="0" w:color="auto"/>
      </w:divBdr>
    </w:div>
    <w:div w:id="861019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5561</Words>
  <Characters>30588</Characters>
  <Application>Microsoft Office Word</Application>
  <DocSecurity>0</DocSecurity>
  <Lines>254</Lines>
  <Paragraphs>72</Paragraphs>
  <ScaleCrop>false</ScaleCrop>
  <Company/>
  <LinksUpToDate>false</LinksUpToDate>
  <CharactersWithSpaces>36077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 SECURISATION DE L’EMPLOI » / LECTURE FO</dc:title>
  <dc:creator>Sylvia Veitl</dc:creator>
  <cp:lastModifiedBy>poste7</cp:lastModifiedBy>
  <cp:revision>2</cp:revision>
  <cp:lastPrinted>2013-03-21T14:48:00Z</cp:lastPrinted>
  <dcterms:created xsi:type="dcterms:W3CDTF">2013-03-26T09:05:00Z</dcterms:created>
  <dcterms:modified xsi:type="dcterms:W3CDTF">2013-03-26T09:05:00Z</dcterms:modified>
</cp:coreProperties>
</file>